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EYES-DEFY-ANEMIA: Hemoglobin Prediction System</w:t>
      </w:r>
    </w:p>
    <w:p>
      <w:pPr>
        <w:pStyle w:val="Heading2"/>
        <w:jc w:val="center"/>
      </w:pPr>
      <w:r>
        <w:t>Technical Report</w:t>
      </w:r>
    </w:p>
    <w:p>
      <w:pPr>
        <w:jc w:val="center"/>
      </w:pPr>
      <w:r>
        <w:t>Generated: March 27, 2026</w:t>
      </w:r>
    </w:p>
    <w:p/>
    <w:p>
      <w:pPr>
        <w:pStyle w:val="Heading1"/>
      </w:pPr>
      <w:r>
        <w:t>1. Executive Summary</w:t>
      </w:r>
    </w:p>
    <w:p>
      <w:r>
        <w:t>The EYES-DEFY-ANEMIA project develops a deep learning model to predict hemoglobin levels from conjunctival eye images. This enables non-invasive anemia screening using a smartphone camera.</w:t>
      </w:r>
    </w:p>
    <w:p>
      <w:pPr>
        <w:pStyle w:val="Heading1"/>
      </w:pPr>
      <w:r>
        <w:t>2. Model Architecture</w:t>
      </w:r>
    </w:p>
    <w:p>
      <w:pPr>
        <w:pStyle w:val="Heading2"/>
      </w:pPr>
      <w:r>
        <w:t>2.1 Base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Model Type</w:t>
            </w:r>
          </w:p>
        </w:tc>
        <w:tc>
          <w:tcPr>
            <w:tcW w:type="dxa" w:w="4320"/>
          </w:tcPr>
          <w:p>
            <w:r>
              <w:t>Sequential ResNet50</w:t>
            </w:r>
          </w:p>
        </w:tc>
      </w:tr>
      <w:tr>
        <w:tc>
          <w:tcPr>
            <w:tcW w:type="dxa" w:w="4320"/>
          </w:tcPr>
          <w:p>
            <w:r>
              <w:t>Backbone</w:t>
            </w:r>
          </w:p>
        </w:tc>
        <w:tc>
          <w:tcPr>
            <w:tcW w:type="dxa" w:w="4320"/>
          </w:tcPr>
          <w:p>
            <w:r>
              <w:t>ResNet50 (ImageNet pre-trained)</w:t>
            </w:r>
          </w:p>
        </w:tc>
      </w:tr>
      <w:tr>
        <w:tc>
          <w:tcPr>
            <w:tcW w:type="dxa" w:w="4320"/>
          </w:tcPr>
          <w:p>
            <w:r>
              <w:t>Backbone Status</w:t>
            </w:r>
          </w:p>
        </w:tc>
        <w:tc>
          <w:tcPr>
            <w:tcW w:type="dxa" w:w="4320"/>
          </w:tcPr>
          <w:p>
            <w:r>
              <w:t>Frozen during training</w:t>
            </w:r>
          </w:p>
        </w:tc>
      </w:tr>
      <w:tr>
        <w:tc>
          <w:tcPr>
            <w:tcW w:type="dxa" w:w="4320"/>
          </w:tcPr>
          <w:p>
            <w:r>
              <w:t>Input Shape</w:t>
            </w:r>
          </w:p>
        </w:tc>
        <w:tc>
          <w:tcPr>
            <w:tcW w:type="dxa" w:w="4320"/>
          </w:tcPr>
          <w:p>
            <w:r>
              <w:t>224 × 224 pixels × 3 (RGB)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Mean Squared Error (MSE)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</w:tbl>
    <w:p>
      <w:pPr>
        <w:pStyle w:val="Heading2"/>
      </w:pPr>
      <w:r>
        <w:t>2.2 Dense Head Architecture</w:t>
      </w:r>
    </w:p>
    <w:p>
      <w:r>
        <w:t>Dense Layers: 512 → 256 → 128 → 64 → 1</w:t>
      </w:r>
    </w:p>
    <w:p>
      <w:r>
        <w:t>Dropout Rates: 0.6 → 0.5 → 0.4 → 0.3 (progressive)</w:t>
      </w:r>
    </w:p>
    <w:p>
      <w:r>
        <w:t>Batch Normalization: Yes</w:t>
      </w:r>
    </w:p>
    <w:p>
      <w:r>
        <w:t>Regularization: L2 (λ = 5e-4)</w:t>
      </w:r>
    </w:p>
    <w:p>
      <w:pPr>
        <w:pStyle w:val="Heading1"/>
      </w:pPr>
      <w:r>
        <w:t>3. Training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1e-3 (0.001)</w:t>
            </w:r>
          </w:p>
        </w:tc>
      </w:tr>
    </w:tbl>
    <w:p>
      <w:pPr>
        <w:pStyle w:val="Heading1"/>
      </w:pPr>
      <w:r>
        <w:t>4. Data Augmentation Strategy</w:t>
      </w:r>
    </w:p>
    <w:p>
      <w:r>
        <w:t>Aggressive augmentation is applied to improve model generalization on limited dataset:</w:t>
      </w:r>
    </w:p>
    <w:p>
      <w:pPr>
        <w:pStyle w:val="ListBullet"/>
      </w:pPr>
      <w:r>
        <w:t>Rotation: ±25°</w:t>
      </w:r>
    </w:p>
    <w:p>
      <w:pPr>
        <w:pStyle w:val="ListBullet"/>
      </w:pPr>
      <w:r>
        <w:t>Brightness: 0.6 - 1.4</w:t>
      </w:r>
    </w:p>
    <w:p>
      <w:pPr>
        <w:pStyle w:val="ListBullet"/>
      </w:pPr>
      <w:r>
        <w:t>Zoom: 20%</w:t>
      </w:r>
    </w:p>
    <w:p>
      <w:pPr>
        <w:pStyle w:val="ListBullet"/>
      </w:pPr>
      <w:r>
        <w:t>Width Shift: 20%</w:t>
      </w:r>
    </w:p>
    <w:p>
      <w:pPr>
        <w:pStyle w:val="ListBullet"/>
      </w:pPr>
      <w:r>
        <w:t>Height Shift: 20%</w:t>
      </w:r>
    </w:p>
    <w:p>
      <w:pPr>
        <w:pStyle w:val="ListBullet"/>
      </w:pPr>
      <w:r>
        <w:t>Shear: 15%</w:t>
      </w:r>
    </w:p>
    <w:p>
      <w:pPr>
        <w:pStyle w:val="Heading1"/>
      </w:pPr>
      <w:r>
        <w:t>5. Dataset Information</w:t>
      </w:r>
    </w:p>
    <w:p>
      <w:pPr>
        <w:pStyle w:val="Heading2"/>
      </w:pPr>
      <w:r>
        <w:t>5.1 Data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</w:t>
            </w:r>
          </w:p>
        </w:tc>
        <w:tc>
          <w:tcPr>
            <w:tcW w:type="dxa" w:w="4320"/>
          </w:tcPr>
          <w:p>
            <w:r>
              <w:t>Sample Count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~155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~27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~27</w:t>
            </w:r>
          </w:p>
        </w:tc>
      </w:tr>
    </w:tbl>
    <w:p>
      <w:pPr>
        <w:pStyle w:val="Heading2"/>
      </w:pPr>
      <w:r>
        <w:t>5.2 Image Characteristics</w:t>
      </w:r>
    </w:p>
    <w:p>
      <w:r>
        <w:t>Image Type: Conjunctival eye images</w:t>
      </w:r>
    </w:p>
    <w:p>
      <w:r>
        <w:t>Countries: India, Italy</w:t>
      </w:r>
    </w:p>
    <w:p>
      <w:r>
        <w:t>Resolution: 224 × 224 pixels</w:t>
      </w:r>
    </w:p>
    <w:p>
      <w:r>
        <w:t>Hemoglobin Range: 7.0 g/dL - 17.5 g/dL</w:t>
      </w:r>
    </w:p>
    <w:p>
      <w:pPr>
        <w:pStyle w:val="Heading1"/>
      </w:pPr>
      <w:r>
        <w:t>6. WHO Anemia Classification Thresholds</w:t>
      </w:r>
    </w:p>
    <w:p>
      <w:r>
        <w:t>The model uses WHO-standardized hemoglobin thresholds for clinical classification: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Population Group</w:t>
            </w:r>
          </w:p>
        </w:tc>
        <w:tc>
          <w:tcPr>
            <w:tcW w:type="dxa" w:w="4320"/>
          </w:tcPr>
          <w:p>
            <w:r>
              <w:t>Normal Range (g/dL)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Children 6 59M</w:t>
            </w:r>
          </w:p>
        </w:tc>
        <w:tc>
          <w:tcPr>
            <w:tcW w:type="dxa" w:w="4320"/>
          </w:tcPr>
          <w:p>
            <w:r>
              <w:t>Normal ≥ 11.0 g/dL</w:t>
            </w:r>
          </w:p>
        </w:tc>
      </w:tr>
      <w:tr>
        <w:tc>
          <w:tcPr>
            <w:tcW w:type="dxa" w:w="4320"/>
          </w:tcPr>
          <w:p>
            <w:r>
              <w:t>Children 5 11Y</w:t>
            </w:r>
          </w:p>
        </w:tc>
        <w:tc>
          <w:tcPr>
            <w:tcW w:type="dxa" w:w="4320"/>
          </w:tcPr>
          <w:p>
            <w:r>
              <w:t>Normal ≥ 11.5 g/dL</w:t>
            </w:r>
          </w:p>
        </w:tc>
      </w:tr>
      <w:tr>
        <w:tc>
          <w:tcPr>
            <w:tcW w:type="dxa" w:w="4320"/>
          </w:tcPr>
          <w:p>
            <w:r>
              <w:t>Children 12 14Y</w:t>
            </w:r>
          </w:p>
        </w:tc>
        <w:tc>
          <w:tcPr>
            <w:tcW w:type="dxa" w:w="4320"/>
          </w:tcPr>
          <w:p>
            <w:r>
              <w:t>Normal ≥ 12.0 g/dL</w:t>
            </w:r>
          </w:p>
        </w:tc>
      </w:tr>
      <w:tr>
        <w:tc>
          <w:tcPr>
            <w:tcW w:type="dxa" w:w="4320"/>
          </w:tcPr>
          <w:p>
            <w:r>
              <w:t>Women 15Plus</w:t>
            </w:r>
          </w:p>
        </w:tc>
        <w:tc>
          <w:tcPr>
            <w:tcW w:type="dxa" w:w="4320"/>
          </w:tcPr>
          <w:p>
            <w:r>
              <w:t>Normal ≥ 12.0 g/dL</w:t>
            </w:r>
          </w:p>
        </w:tc>
      </w:tr>
      <w:tr>
        <w:tc>
          <w:tcPr>
            <w:tcW w:type="dxa" w:w="4320"/>
          </w:tcPr>
          <w:p>
            <w:r>
              <w:t>Pregnant Women</w:t>
            </w:r>
          </w:p>
        </w:tc>
        <w:tc>
          <w:tcPr>
            <w:tcW w:type="dxa" w:w="4320"/>
          </w:tcPr>
          <w:p>
            <w:r>
              <w:t>Normal ≥ 11.0 g/dL</w:t>
            </w:r>
          </w:p>
        </w:tc>
      </w:tr>
      <w:tr>
        <w:tc>
          <w:tcPr>
            <w:tcW w:type="dxa" w:w="4320"/>
          </w:tcPr>
          <w:p>
            <w:r>
              <w:t>Men 15Plus</w:t>
            </w:r>
          </w:p>
        </w:tc>
        <w:tc>
          <w:tcPr>
            <w:tcW w:type="dxa" w:w="4320"/>
          </w:tcPr>
          <w:p>
            <w:r>
              <w:t>Normal ≥ 13.0 g/dL</w:t>
            </w:r>
          </w:p>
        </w:tc>
      </w:tr>
    </w:tbl>
    <w:p>
      <w:pPr>
        <w:pStyle w:val="Heading1"/>
      </w:pPr>
      <w:r>
        <w:t>7. Training Callbacks</w:t>
      </w:r>
    </w:p>
    <w:p>
      <w:r>
        <w:t>The following callbacks optimize training convergence:</w:t>
      </w:r>
    </w:p>
    <w:p>
      <w:pPr>
        <w:pStyle w:val="ListBullet"/>
      </w:pPr>
      <w:r>
        <w:t>Early Stopping: EarlyStopping(monitor='val_mae', patience=20)</w:t>
      </w:r>
    </w:p>
    <w:p>
      <w:pPr>
        <w:pStyle w:val="ListBullet"/>
      </w:pPr>
      <w:r>
        <w:t>Checkpoint: ModelCheckpoint(monitor='val_mae', save_best_only=True)</w:t>
      </w:r>
    </w:p>
    <w:p>
      <w:pPr>
        <w:pStyle w:val="ListBullet"/>
      </w:pPr>
      <w:r>
        <w:t>Reduce Lr: ReduceLROnPlateau(factor=0.7, patience=5, min_lr=1e-6)</w:t>
      </w:r>
    </w:p>
    <w:p>
      <w:pPr>
        <w:pStyle w:val="Heading1"/>
      </w:pPr>
      <w:r>
        <w:t>8. Performance Metrics</w:t>
      </w:r>
    </w:p>
    <w:p>
      <w:r>
        <w:t>Current Status: In Development (Target: 90%+)</w:t>
      </w:r>
    </w:p>
    <w:p>
      <w:r>
        <w:t>Model Location: models/sequential_resnet50_best.h5</w:t>
      </w:r>
    </w:p>
    <w:p>
      <w:pPr>
        <w:pStyle w:val="Heading2"/>
      </w:pPr>
      <w:r>
        <w:t>8.1 Evaluation Metrics</w:t>
      </w:r>
    </w:p>
    <w:p>
      <w:pPr>
        <w:pStyle w:val="ListBullet"/>
      </w:pPr>
      <w:r>
        <w:t>The model is evaluated using:</w:t>
      </w:r>
    </w:p>
    <w:p>
      <w:pPr>
        <w:pStyle w:val="ListBullet2"/>
      </w:pPr>
      <w:r>
        <w:t>Mean Absolute Error (MAE) - In g/dL</w:t>
      </w:r>
    </w:p>
    <w:p>
      <w:pPr>
        <w:pStyle w:val="ListBullet2"/>
      </w:pPr>
      <w:r>
        <w:t>Root Mean Squared Error (RMSE) - In g/dL</w:t>
      </w:r>
    </w:p>
    <w:p>
      <w:pPr>
        <w:pStyle w:val="ListBullet2"/>
      </w:pPr>
      <w:r>
        <w:t>Clinical Classification Accuracy (Anemic vs Non-Anemic)</w:t>
      </w:r>
    </w:p>
    <w:p>
      <w:pPr>
        <w:pStyle w:val="Heading1"/>
      </w:pPr>
      <w:r>
        <w:t>9. Technical Specifications</w:t>
      </w:r>
    </w:p>
    <w:p>
      <w:pPr>
        <w:pStyle w:val="ListBullet"/>
      </w:pPr>
      <w:r>
        <w:t>Framework: TensorFlow/Keras</w:t>
      </w:r>
    </w:p>
    <w:p>
      <w:pPr>
        <w:pStyle w:val="ListBullet"/>
      </w:pPr>
      <w:r>
        <w:t>Backend: ResNet50 (224×224 input)</w:t>
      </w:r>
    </w:p>
    <w:p>
      <w:pPr>
        <w:pStyle w:val="ListBullet"/>
      </w:pPr>
      <w:r>
        <w:t>Pre-training Dataset: ImageNet</w:t>
      </w:r>
    </w:p>
    <w:p>
      <w:pPr>
        <w:pStyle w:val="ListBullet"/>
      </w:pPr>
      <w:r>
        <w:t>Regularization Method: L2 Norm (λ=5e-4)</w:t>
      </w:r>
    </w:p>
    <w:p>
      <w:pPr>
        <w:pStyle w:val="ListBullet"/>
      </w:pPr>
      <w:r>
        <w:t>Dropout Strategy: Progressive reduction (0.6→0.3)</w:t>
      </w:r>
    </w:p>
    <w:p>
      <w:pPr>
        <w:pStyle w:val="ListBullet"/>
      </w:pPr>
      <w:r>
        <w:t>Batch Normalization: Applied at Dense layers</w:t>
      </w:r>
    </w:p>
    <w:p>
      <w:pPr>
        <w:pStyle w:val="ListBullet"/>
      </w:pPr>
      <w:r>
        <w:t>Data Normalization: MinMaxScaler [0, 1]</w:t>
      </w:r>
    </w:p>
    <w:p>
      <w:pPr>
        <w:pStyle w:val="Heading1"/>
      </w:pPr>
      <w:r>
        <w:t>10. Clinical Relevance</w:t>
      </w:r>
    </w:p>
    <w:p>
      <w:r>
        <w:t>The model is trained to detect anemia non-invasively using conjunctival eye images. The system classifies individuals as anemic or non-anemic based on WHO-standardized hemoglobin thresholds specific to age, gender, and pregnancy status.</w:t>
      </w:r>
    </w:p>
    <w:p>
      <w:pPr>
        <w:pStyle w:val="Heading2"/>
      </w:pPr>
      <w:r>
        <w:t>10.1 Expected Use Cases</w:t>
      </w:r>
    </w:p>
    <w:p>
      <w:pPr>
        <w:pStyle w:val="ListBullet"/>
      </w:pPr>
      <w:r>
        <w:t>Point-of-care screening in remote areas</w:t>
      </w:r>
    </w:p>
    <w:p>
      <w:pPr>
        <w:pStyle w:val="ListBullet"/>
      </w:pPr>
      <w:r>
        <w:t>Mobile health (mHealth) applications</w:t>
      </w:r>
    </w:p>
    <w:p>
      <w:pPr>
        <w:pStyle w:val="ListBullet"/>
      </w:pPr>
      <w:r>
        <w:t>Population health monitoring</w:t>
      </w:r>
    </w:p>
    <w:p>
      <w:pPr>
        <w:pStyle w:val="ListBullet"/>
      </w:pPr>
      <w:r>
        <w:t>Clinical decision support</w:t>
      </w:r>
    </w:p>
    <w:p>
      <w:pPr>
        <w:pStyle w:val="ListBullet"/>
      </w:pPr>
      <w:r>
        <w:t>Telemedicine platforms</w:t>
      </w:r>
    </w:p>
    <w:p>
      <w:pPr>
        <w:pStyle w:val="Heading1"/>
      </w:pPr>
      <w:r>
        <w:t>11. Optimization Roadmap</w:t>
      </w:r>
    </w:p>
    <w:p>
      <w:pPr>
        <w:pStyle w:val="ListBullet"/>
      </w:pPr>
      <w:r>
        <w:t>Achieve target accuracy: 90%+</w:t>
      </w:r>
    </w:p>
    <w:p>
      <w:pPr>
        <w:pStyle w:val="ListBullet"/>
      </w:pPr>
      <w:r>
        <w:t>Ensemble multiple model architectures (DenseNet, Inception)</w:t>
      </w:r>
    </w:p>
    <w:p>
      <w:pPr>
        <w:pStyle w:val="ListBullet"/>
      </w:pPr>
      <w:r>
        <w:t>Cross-validation with stratified k-fold</w:t>
      </w:r>
    </w:p>
    <w:p>
      <w:pPr>
        <w:pStyle w:val="ListBullet"/>
      </w:pPr>
      <w:r>
        <w:t>Fine-tune hyperparameters via Bayesian optimization</w:t>
      </w:r>
    </w:p>
    <w:p>
      <w:pPr>
        <w:pStyle w:val="ListBullet"/>
      </w:pPr>
      <w:r>
        <w:t>Implement explainability features (Grad-CAM visualizations)</w:t>
      </w:r>
    </w:p>
    <w:p>
      <w:pPr>
        <w:pStyle w:val="ListBullet"/>
      </w:pPr>
      <w:r>
        <w:t>Expand dataset with multi-country samples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