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Center"/>
        <w:bidi w:val="0"/>
        <w:spacing w:lineRule="auto" w:line="276"/>
        <w:jc w:val="center"/>
        <w:rPr/>
      </w:pPr>
      <w:r>
        <w:rPr/>
        <w:t>Evaluating AI Agents on a Head-Gasket Repair Procedure</w:t>
      </w:r>
    </w:p>
    <w:p>
      <w:pPr>
        <w:pStyle w:val="TitleCenter"/>
        <w:bidi w:val="0"/>
        <w:spacing w:lineRule="auto" w:line="276"/>
        <w:jc w:val="center"/>
        <w:rPr/>
      </w:pPr>
      <w:r>
        <w:rPr/>
        <w:t>Joshua Pinckard · ToolsEnabled, Inc.</w:t>
      </w:r>
    </w:p>
    <w:p>
      <w:pPr>
        <w:pStyle w:val="TitleNote"/>
        <w:bidi w:val="0"/>
        <w:spacing w:lineRule="auto" w:line="360" w:before="173" w:after="0"/>
        <w:rPr/>
      </w:pPr>
      <w:r>
        <w:rPr/>
        <w:t>October 2026</w:t>
      </w:r>
    </w:p>
    <w:p>
      <w:pPr>
        <w:pStyle w:val="TitleNote"/>
        <w:bidi w:val="0"/>
        <w:spacing w:lineRule="auto" w:line="360" w:before="173" w:after="0"/>
        <w:rPr/>
      </w:pPr>
      <w:r>
        <w:rPr/>
        <w:t>Contact: support@toolsenabled.ai</w:t>
      </w:r>
    </w:p>
    <w:p>
      <w:pPr>
        <w:pStyle w:val="TitleNote"/>
        <w:bidi w:val="0"/>
        <w:spacing w:lineRule="auto" w:line="360" w:before="173" w:after="0"/>
        <w:rPr/>
      </w:pPr>
      <w:r>
        <w:rPr/>
        <w:t>Text and figures of this report: CC BY 4.0. Benchmark code: MIT licence, released separately.</w:t>
      </w:r>
    </w:p>
    <w:p>
      <w:pPr>
        <w:pStyle w:val="HeadingCenterBreak"/>
        <w:bidi w:val="0"/>
        <w:spacing w:before="0" w:after="0"/>
        <w:rPr/>
      </w:pPr>
      <w:r>
        <w:rPr/>
        <w:t>Abstract</w:t>
      </w:r>
    </w:p>
    <w:p>
      <w:pPr>
        <w:pStyle w:val="Body"/>
        <w:bidi w:val="0"/>
        <w:spacing w:lineRule="auto" w:line="480"/>
        <w:ind w:firstLine="720"/>
        <w:jc w:val="start"/>
        <w:rPr/>
      </w:pPr>
      <w:r>
        <w:rPr/>
        <w:t>Can an AI agent carry out a mechanical repair, rather than only describe one? We present a head-gasket replacement benchmark built on a detailed CAD model of a 1990s 1.6-litre SOHC inline-four engine. Working through tool calls, the agent must look up the service specifications, dismantle the engine in an order the geometry allows, measure the head, block and bolts, choose the correct parts, tighten the head bolts in the specified stages and sequence, and reassemble the engine. We adopt TheAgentCompany’s full and partial completion formulas without modification; our checkpoints are binary and checked by deterministic code. As a domain-specific cost, every action is also charged an estimated technician time, so mistakes and repeated work carry a labour cost. In exploratory runs, one per model on the standard job, no agent completed the repair fully correctly. GPT-6-Astra reached the highest partial score, 41.7% (15 of 18 checkpoint points), with all ten head bolts tightened correctly and 1,404 seconds of penalty time. GPT-6-Luna scored 36.1%. GPT-6.1-Sol scored 8.3% and left the engine disassembled. The most common failures were repeated work, repeating requests the environment had refused, and finishing with parts not refitted. These are single runs; they describe behaviour and do not rank the models.</w:t>
      </w:r>
    </w:p>
    <w:p>
      <w:pPr>
        <w:pStyle w:val="SourceCitation"/>
        <w:keepLines/>
        <w:bidi w:val="0"/>
        <w:spacing w:lineRule="auto" w:line="276" w:before="0" w:after="58"/>
        <w:jc w:val="start"/>
        <w:rPr/>
      </w:pPr>
      <w:r>
        <w:rPr/>
        <w:t>Model names are as requested from the provider at xhigh reasoning effort; the serving system did not attest the model identity.</w:t>
      </w:r>
    </w:p>
    <w:p>
      <w:pPr>
        <w:pStyle w:val="HeadingCenter"/>
        <w:keepNext w:val="true"/>
        <w:bidi w:val="0"/>
        <w:spacing w:lineRule="auto" w:line="480" w:before="216" w:after="0"/>
        <w:jc w:val="center"/>
        <w:rPr/>
      </w:pPr>
      <w:r>
        <w:rPr/>
        <w:t>1 Introduction</w:t>
      </w:r>
    </w:p>
    <w:p>
      <w:pPr>
        <w:pStyle w:val="Body"/>
        <w:bidi w:val="0"/>
        <w:spacing w:lineRule="auto" w:line="480"/>
        <w:ind w:firstLine="720"/>
        <w:jc w:val="start"/>
        <w:rPr/>
      </w:pPr>
      <w:r>
        <w:rPr/>
        <w:t>A correct repair depends on decisions made along the way. A bolt tightened to the final value can still have an incorrect stage history. A head cannot be removed through an obstruction merely because its final pose is legal. A plausible written procedure does not show that an agent can maintain these constraints while acting.</w:t>
      </w:r>
    </w:p>
    <w:p>
      <w:pPr>
        <w:pStyle w:val="Body"/>
        <w:bidi w:val="0"/>
        <w:spacing w:lineRule="auto" w:line="480"/>
        <w:ind w:firstLine="720"/>
        <w:jc w:val="start"/>
        <w:rPr/>
      </w:pPr>
      <w:r>
        <w:rPr/>
        <w:t>We study a head-gasket replacement on a real 1990s 1.6 L SOHC inline-four. The agent works through tools against a detailed CAD-based engine model on a prepared service stand. The surrounding vehicle is outside the task. Specifications must be found in the service-information corpus rather than supplied in the task prompt. This benchmark follows Engine Bench (https://toolsenabled.ai/bench/, code at https://github.com/ToolsEnabled/engine-bench) and uses the same engine model: Engine Bench asks an agent to build the engine, and this benchmark asks it to repair one.</w:t>
      </w:r>
    </w:p>
    <w:p>
      <w:pPr>
        <w:pStyle w:val="Body"/>
        <w:bidi w:val="0"/>
        <w:spacing w:lineRule="auto" w:line="480"/>
        <w:ind w:firstLine="720"/>
        <w:jc w:val="start"/>
        <w:rPr/>
      </w:pPr>
      <w:r>
        <w:rPr/>
        <w:t>We follow TheAgentCompany’s organization and aggregate scoring [1]. Our contribution is the repair application: an environment where part identities, access, measurements, tightening stages and assembly completeness matter jointly. We do not propose a new scoring formula or statistical method. Technician time adds a domain-specific cost alongside computational cost.</w:t>
      </w:r>
    </w:p>
    <w:p>
      <w:pPr>
        <w:pStyle w:val="Body"/>
        <w:bidi w:val="0"/>
        <w:spacing w:lineRule="auto" w:line="480"/>
        <w:ind w:firstLine="720"/>
        <w:jc w:val="start"/>
        <w:rPr/>
      </w:pPr>
      <w:r>
        <w:rPr/>
        <w:t>The report distinguishes the task specification from supported software behavior and physical qualifications. Current results describe exploratory standard-job trajectories; the larger comparative collection remains pending. Historical scripted references and model attempts retain their actual rules and evaluator versions.</w:t>
      </w:r>
    </w:p>
    <w:p>
      <w:pPr>
        <w:pStyle w:val="HeadingCenter"/>
        <w:keepNext w:val="true"/>
        <w:bidi w:val="0"/>
        <w:spacing w:lineRule="auto" w:line="480" w:before="216" w:after="0"/>
        <w:jc w:val="center"/>
        <w:rPr/>
      </w:pPr>
      <w:r>
        <w:rPr/>
        <w:t>2 Benchmark desiderata and comparison to other benchmarks</w:t>
      </w:r>
    </w:p>
    <w:p>
      <w:pPr>
        <w:pStyle w:val="Body"/>
        <w:bidi w:val="0"/>
        <w:spacing w:lineRule="auto" w:line="480"/>
        <w:ind w:firstLine="720"/>
        <w:jc w:val="start"/>
        <w:rPr/>
      </w:pPr>
      <w:r>
        <w:rPr/>
        <w:t>The benchmark should require consequential actions, preserve intermediate state, and provide an inspectable basis for every score. An agent should be able to discover the information needed to act, and the evaluator should distinguish an incorrect repair from an unavailable measurement or an apparatus failure.</w:t>
      </w:r>
    </w:p>
    <w:p>
      <w:pPr>
        <w:pStyle w:val="Body"/>
        <w:bidi w:val="0"/>
        <w:spacing w:lineRule="auto" w:line="480"/>
        <w:ind w:firstLine="720"/>
        <w:jc w:val="start"/>
        <w:rPr/>
      </w:pPr>
      <w:r>
        <w:rPr/>
        <w:t>TheAgentCompany evaluates professional work through workplace tools and simulated colleague conversations, combining full completion with intermediate checkpoints. We adapt its reporting structure to a component-level repair procedure. The contribution is this application and its task specification, rather than a new evaluation method [1].</w:t>
      </w:r>
    </w:p>
    <w:p>
      <w:pPr>
        <w:pStyle w:val="Body"/>
        <w:bidi w:val="0"/>
        <w:spacing w:lineRule="auto" w:line="480"/>
        <w:ind w:firstLine="720"/>
        <w:jc w:val="start"/>
        <w:rPr/>
      </w:pPr>
      <w:r>
        <w:rPr/>
        <w:t>ScienceWorld links scientific knowledge to actions in a text simulation. SimulCost studies accuracy and computation cost in solver tuning. CompMat-Bench grades materials-research inputs and outputs, while its longer workflows also execute calculations. ReFract tests action trajectories against role-specific boundaries. DeepTest tests automotive information retrieval for omitted warnings. These settings illuminate different aspects of procedural work; their scores measure different targets and are not directly comparable [2] [11] [12] [13] [14].</w:t>
      </w:r>
    </w:p>
    <w:p>
      <w:pPr>
        <w:pStyle w:val="Body"/>
        <w:bidi w:val="0"/>
        <w:spacing w:lineRule="auto" w:line="480"/>
        <w:ind w:firstLine="720"/>
        <w:jc w:val="start"/>
        <w:rPr/>
      </w:pPr>
      <w:r>
        <w:rPr/>
        <w:t>Evaluation practice also shapes the design. AI Agents That Matter motivates cost-controlled comparisons, suitable holdouts and reproducible evaluation. The Agentic Benchmark Checklist distinguishes task validity from outcome validity. Harness-disclosure work makes the execution configuration part of the experimental condition, while the double-measurement study shows why evaluator truth and scaffold ownership require separate scrutiny. These sources motivate explicit task predicates, isolation, configuration disclosure and accounting for unavailable observations [3] [4] [5] [6].</w:t>
      </w:r>
    </w:p>
    <w:p>
      <w:pPr>
        <w:pStyle w:val="Body"/>
        <w:bidi w:val="0"/>
        <w:spacing w:lineRule="auto" w:line="480"/>
        <w:ind w:firstLine="720"/>
        <w:jc w:val="start"/>
        <w:rPr/>
      </w:pPr>
      <w:r>
        <w:rPr/>
        <w:t>Our desiderata are a documented service procedure, separate component identities, geometry-based access, stateful tool actions, task-specific deterministic checks, and reproducible initial conditions. Difficulty should arise from the job rather than hidden specifications or arbitrary tool failures. Missing service limits and unresolved access must remain visible.</w:t>
      </w:r>
    </w:p>
    <w:p>
      <w:pPr>
        <w:pStyle w:val="HeadingCenter"/>
        <w:keepNext w:val="true"/>
        <w:bidi w:val="0"/>
        <w:spacing w:lineRule="auto" w:line="480" w:before="216" w:after="0"/>
        <w:jc w:val="center"/>
        <w:rPr/>
      </w:pPr>
      <w:r>
        <w:rPr/>
        <w:t>3 Environment</w:t>
      </w:r>
    </w:p>
    <w:p>
      <w:pPr>
        <w:pStyle w:val="Body"/>
        <w:bidi w:val="0"/>
        <w:spacing w:lineRule="auto" w:line="480"/>
        <w:ind w:firstLine="720"/>
        <w:jc w:val="start"/>
        <w:rPr/>
      </w:pPr>
      <w:r>
        <w:rPr/>
        <w:t>The game presents a prepared engine, tools, replacement supplies and service information. The interface supports looking, inspection, measurement, service search, removal, installation, cleaning, replacement, tightening, timing checks and final submission. Every action refers to a specific target; attempts and state changes are recorded separately.</w:t>
      </w:r>
    </w:p>
    <w:p>
      <w:pPr>
        <w:pStyle w:val="Body"/>
        <w:bidi w:val="0"/>
        <w:spacing w:lineRule="auto" w:line="480"/>
        <w:ind w:firstLine="720"/>
        <w:jc w:val="start"/>
        <w:rPr/>
      </w:pPr>
      <w:r>
        <w:rPr/>
        <w:t>CAD bodies retain individual identities. A service-body index links procedure names to geometry, but a display or index entry alone does not prove that a part can be withdrawn. Geometry and access checks must determine permitted removal order. Unknown constraints cannot be interpreted as permission.</w:t>
      </w:r>
    </w:p>
    <w:p>
      <w:pPr>
        <w:pStyle w:val="Body"/>
        <w:bidi w:val="0"/>
        <w:spacing w:lineRule="auto" w:line="480"/>
        <w:ind w:firstLine="720"/>
        <w:jc w:val="start"/>
        <w:rPr/>
      </w:pPr>
      <w:r>
        <w:rPr/>
        <w:t>Clamp mechanics provide state changes and observations such as bolt stretch, gasket condition and local clamp response. Unloaded service flatness is supplied or measured state; loaded head bow and bolt stretch are model responses. Available models include idealized material and contact behavior. These models support environment realism within their stated scope; they are not a full engine simulation or a validation of service life.</w:t>
      </w:r>
    </w:p>
    <w:p>
      <w:pPr>
        <w:pStyle w:val="Body"/>
        <w:bidi w:val="0"/>
        <w:spacing w:lineRule="auto" w:line="480"/>
        <w:ind w:firstLine="720"/>
        <w:jc w:val="start"/>
        <w:rPr/>
      </w:pPr>
      <w:r>
        <w:rPr/>
        <w:t>Neither a soak nor an engine run is part of scoring. The earlier operating-soak approach was dropped because the intended outcome is completion of the repair procedure against a correct reference. This is a design decision, not an engine-durability result.</w:t>
      </w:r>
    </w:p>
    <w:p>
      <w:pPr>
        <w:pStyle w:val="HeadingCenter"/>
        <w:keepNext w:val="true"/>
        <w:bidi w:val="0"/>
        <w:spacing w:lineRule="auto" w:line="480" w:before="216" w:after="0"/>
        <w:jc w:val="center"/>
        <w:rPr/>
      </w:pPr>
      <w:r>
        <w:rPr/>
        <w:t>4 Task structure</w:t>
      </w:r>
    </w:p>
    <w:p>
      <w:pPr>
        <w:pStyle w:val="Body"/>
        <w:bidi w:val="0"/>
        <w:spacing w:lineRule="auto" w:line="480"/>
        <w:ind w:firstLine="720"/>
        <w:jc w:val="start"/>
        <w:rPr/>
      </w:pPr>
      <w:r>
        <w:rPr/>
        <w:t>Each task comprises an instruction, a fixed starting state, a service corpus, weighted checkpoints and a deterministic evaluator. The proposed evaluator will read the final state and chronological action record. Binary checkpoint decisions will expose the supporting observations and the reason for each failed check.</w:t>
      </w:r>
    </w:p>
    <w:p>
      <w:pPr>
        <w:pStyle w:val="Body"/>
        <w:bidi w:val="0"/>
        <w:spacing w:lineRule="auto" w:line="480"/>
        <w:ind w:firstLine="720"/>
        <w:jc w:val="start"/>
        <w:rPr/>
      </w:pPr>
      <w:r>
        <w:rPr/>
        <w:t>The agent is asked to complete the repair, not to reproduce an answer string. The correct scripted baseline supplies the reference procedure and must satisfy every checkpoint. It defines 100% reference accuracy; that requirement is distinct from the complete original-rule references reported separately and from validation under the amended rules.</w:t>
      </w:r>
    </w:p>
    <w:p>
      <w:pPr>
        <w:pStyle w:val="HeadingCenter"/>
        <w:keepNext w:val="true"/>
        <w:bidi w:val="0"/>
        <w:spacing w:lineRule="auto" w:line="480" w:before="216" w:after="0"/>
        <w:jc w:val="center"/>
        <w:rPr/>
      </w:pPr>
      <w:r>
        <w:rPr/>
        <w:t>4.1 Evaluation metrics</w:t>
      </w:r>
    </w:p>
    <w:p>
      <w:pPr>
        <w:pStyle w:val="Body"/>
        <w:bidi w:val="0"/>
        <w:spacing w:lineRule="auto" w:line="480"/>
        <w:ind w:firstLine="720"/>
        <w:jc w:val="start"/>
        <w:rPr/>
      </w:pPr>
      <w:r>
        <w:rPr/>
        <w:t>Following TheAgentCompany, full completion is S_full = 1 if every checkpoint passes, and 0 otherwise. Partial completion is S_partial = 0.5 × (points earned / total points) + 0.5 × S_full [1].</w:t>
      </w:r>
    </w:p>
    <w:p>
      <w:pPr>
        <w:pStyle w:val="Body"/>
        <w:bidi w:val="0"/>
        <w:spacing w:lineRule="auto" w:line="480"/>
        <w:ind w:firstLine="720"/>
        <w:jc w:val="start"/>
        <w:rPr/>
      </w:pPr>
      <w:r>
        <w:rPr/>
        <w:t>The aggregate formula is used unchanged. This application uses binary deterministic checkpoints. The template also permits partial credit within checkpoints and LLM evaluation for some tasks; those mechanisms are not used for the proposed repair checks [1].</w:t>
      </w:r>
    </w:p>
    <w:p>
      <w:pPr>
        <w:pStyle w:val="Body"/>
        <w:bidi w:val="0"/>
        <w:spacing w:lineRule="auto" w:line="480"/>
        <w:ind w:firstLine="720"/>
        <w:jc w:val="start"/>
        <w:rPr/>
      </w:pPr>
      <w:r>
        <w:rPr/>
        <w:t>Success is mean S_full and Score is mean S_partial. Steps counts model calls, not tool calls. API-equivalent Cost is prompt tokens multiplied by the prompt-token rate plus completion tokens multiplied by the completion-token rate, under the template’s no-caching convention. Token counts, rate date, model identity and currency must be reported. A subscription fee is not an API price; unavailable rates or model-call counts remain unavailable [1].</w:t>
      </w:r>
    </w:p>
    <w:p>
      <w:pPr>
        <w:pStyle w:val="Body"/>
        <w:bidi w:val="0"/>
        <w:spacing w:lineRule="auto" w:line="480"/>
        <w:ind w:firstLine="720"/>
        <w:jc w:val="start"/>
        <w:rPr/>
      </w:pPr>
      <w:r>
        <w:rPr/>
        <w:t>Technician time is the sum of cited action charges and mistake-correction charges, reported as productive and penalty components beside the scripted baseline. It is charged time, not a measured mechanic’s elapsed time or a simulated delay. Mistakes by type, agent wall time and tool calls are additional measures.</w:t>
      </w:r>
    </w:p>
    <w:p>
      <w:pPr>
        <w:pStyle w:val="Body"/>
        <w:bidi w:val="0"/>
        <w:spacing w:lineRule="auto" w:line="480"/>
        <w:ind w:firstLine="720"/>
        <w:jc w:val="start"/>
        <w:rPr/>
      </w:pPr>
      <w:r>
        <w:rPr/>
        <w:t>Secondary measures include each of the ten head bolts’ condition, both torque stages and sequence position, plus checkpoint pass rates and failure categories. The explicit head-bolt group defines the denominator; covers and other fasteners do not enter it.</w:t>
      </w:r>
    </w:p>
    <w:p>
      <w:pPr>
        <w:pStyle w:val="HeadingCenter"/>
        <w:keepNext w:val="true"/>
        <w:bidi w:val="0"/>
        <w:spacing w:lineRule="auto" w:line="480" w:before="216" w:after="0"/>
        <w:jc w:val="center"/>
        <w:rPr/>
      </w:pPr>
      <w:r>
        <w:rPr/>
        <w:t>4.2 Workflow</w:t>
      </w:r>
    </w:p>
    <w:p>
      <w:pPr>
        <w:pStyle w:val="Body"/>
        <w:bidi w:val="0"/>
        <w:spacing w:lineRule="auto" w:line="480"/>
        <w:ind w:firstLine="720"/>
        <w:jc w:val="start"/>
        <w:rPr/>
      </w:pPr>
      <w:r>
        <w:rPr/>
        <w:t>Initialization restores the declared starting state, selects the variant, verifies the environment and evaluator versions, and starts the isolated collector. The task prompt identifies the job; the service corpus supplies specifications. Execution records each tool request, response, state transition and charge. Finalization evaluates the repair and preserves the complete report.</w:t>
      </w:r>
    </w:p>
    <w:p>
      <w:pPr>
        <w:pStyle w:val="Body"/>
        <w:bidi w:val="0"/>
        <w:spacing w:lineRule="auto" w:line="480"/>
        <w:ind w:firstLine="720"/>
        <w:jc w:val="start"/>
        <w:rPr/>
      </w:pPr>
      <w:r>
        <w:rPr/>
        <w:t>An end report is required after normal submission, budget exhaustion, early stopping, interruption or an apparatus refusal. It retains observed fields and named unknowns. Calling finish does not by itself establish complete or correct work. Earlier mistakes remain in the action record; the checkpoint specification must state how later corrections affect final accuracy and charged corrective work.</w:t>
      </w:r>
    </w:p>
    <w:p>
      <w:pPr>
        <w:pStyle w:val="HeadingCenter"/>
        <w:keepNext w:val="true"/>
        <w:bidi w:val="0"/>
        <w:spacing w:lineRule="auto" w:line="480" w:before="216" w:after="0"/>
        <w:jc w:val="center"/>
        <w:rPr/>
      </w:pPr>
      <w:r>
        <w:rPr/>
        <w:t>Environment and workflow overview</w:t>
      </w:r>
    </w:p>
    <w:p>
      <w:pPr>
        <w:pStyle w:val="FigureParagraph"/>
        <w:keepNext w:val="true"/>
        <w:bidi w:val="0"/>
        <w:spacing w:lineRule="auto" w:line="240"/>
        <w:jc w:val="center"/>
        <w:rPr/>
      </w:pPr>
      <w:r>
        <w:rPr/>
        <w:drawing>
          <wp:inline distT="0" distB="0" distL="0" distR="0">
            <wp:extent cx="5715000" cy="5012690"/>
            <wp:effectExtent l="0" t="0" r="0" b="0"/>
            <wp:docPr id="1" name="SealedRender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ealedRender1" descr="" title=""/>
                    <pic:cNvPicPr>
                      <a:picLocks noChangeAspect="1" noChangeArrowheads="1"/>
                    </pic:cNvPicPr>
                  </pic:nvPicPr>
                  <pic:blipFill>
                    <a:blip r:embed="rId2"/>
                    <a:stretch>
                      <a:fillRect/>
                    </a:stretch>
                  </pic:blipFill>
                  <pic:spPr bwMode="auto">
                    <a:xfrm>
                      <a:off x="0" y="0"/>
                      <a:ext cx="5715000" cy="5012690"/>
                    </a:xfrm>
                    <a:prstGeom prst="rect">
                      <a:avLst/>
                    </a:prstGeom>
                  </pic:spPr>
                </pic:pic>
              </a:graphicData>
            </a:graphic>
          </wp:inline>
        </w:drawing>
      </w:r>
    </w:p>
    <w:p>
      <w:pPr>
        <w:pStyle w:val="Plain"/>
        <w:bidi w:val="0"/>
        <w:spacing w:lineRule="exact" w:line="365"/>
        <w:jc w:val="start"/>
        <w:rPr/>
      </w:pPr>
      <w:r>
        <w:rPr/>
        <w:t>Figure 1. Proposed evaluation workflow. Tool observations and actions connect the agent to the engine state; the evaluator uses component state and ordered history. Dashed flow denotes usage telemetry. A complete reference procedure and collector remain requirements for study runs.</w:t>
      </w:r>
    </w:p>
    <w:p>
      <w:pPr>
        <w:pStyle w:val="HeadingCenter"/>
        <w:keepNext w:val="true"/>
        <w:bidi w:val="0"/>
        <w:spacing w:lineRule="auto" w:line="480" w:before="216" w:after="0"/>
        <w:jc w:val="center"/>
        <w:rPr/>
      </w:pPr>
      <w:r>
        <w:rPr/>
        <w:t>5 Task creation</w:t>
      </w:r>
    </w:p>
    <w:p>
      <w:pPr>
        <w:pStyle w:val="Body"/>
        <w:bidi w:val="0"/>
        <w:spacing w:lineRule="auto" w:line="480"/>
        <w:ind w:firstLine="720"/>
        <w:jc w:val="start"/>
        <w:rPr/>
      </w:pPr>
      <w:r>
        <w:rPr/>
        <w:t>The draft task set varies the condition of the same repair problem rather than introducing unrelated jobs. It includes a standard job, a stretched bolt, a warped head, an incorrect gasket among available parts, and a worn timing belt. Each variant needs a realizable starting state, appropriate observations, a correct baseline and a tested evaluator before use.</w:t>
      </w:r>
    </w:p>
    <w:p>
      <w:pPr>
        <w:pStyle w:val="Body"/>
        <w:bidi w:val="0"/>
        <w:spacing w:lineRule="auto" w:line="480"/>
        <w:ind w:firstLine="720"/>
        <w:jc w:val="start"/>
        <w:rPr/>
      </w:pPr>
      <w:r>
        <w:rPr/>
        <w:t>Checkpoint curation follows the service procedure. It covers lookup, disassembly, timing preparation, loosening, cleaning, measurement, part choice, tightening and reassembly. Point values express task importance. They must be reviewed and frozen before collecting comparative runs; they must not be tuned to a model ranking.</w:t>
      </w:r>
    </w:p>
    <w:p>
      <w:pPr>
        <w:pStyle w:val="Body"/>
        <w:bidi w:val="0"/>
        <w:spacing w:lineRule="auto" w:line="480"/>
        <w:ind w:firstLine="720"/>
        <w:jc w:val="start"/>
        <w:rPr/>
      </w:pPr>
      <w:r>
        <w:rPr/>
        <w:t>The historical per-operation labor table consists of analyst estimates and charges successful actions only. Later scripted reports include corrective penalties, also as analyst estimates. Neither establishes the cited professional action-time and correction schedule required by the new design. Labor sources, charge units and rules for blocked attempts and rework remain to be established.</w:t>
      </w:r>
    </w:p>
    <w:p>
      <w:pPr>
        <w:pStyle w:val="Body"/>
        <w:bidi w:val="0"/>
        <w:spacing w:lineRule="auto" w:line="480"/>
        <w:ind w:firstLine="720"/>
        <w:jc w:val="start"/>
        <w:rPr/>
      </w:pPr>
      <w:r>
        <w:rPr/>
        <w:t>The earlier snapshot did not demonstrate the full task set. Later original-rule records contain complete references for every configured primary variant, including a software head-machining route and a separate head-replacement alternative. These records do not establish physical machining, exact service applicability or completion under the amended rules. Selected component transitions must remain bound to their actual runtime and configuration.</w:t>
      </w:r>
    </w:p>
    <w:p>
      <w:pPr>
        <w:pStyle w:val="Body"/>
        <w:bidi w:val="0"/>
        <w:spacing w:lineRule="auto" w:line="480"/>
        <w:ind w:firstLine="720"/>
        <w:jc w:val="start"/>
        <w:rPr/>
      </w:pPr>
      <w:r>
        <w:rPr/>
        <w:t>Each task should specify the starting component condition, the information visible to the agent, permitted service actions and the state or history evidence needed for every checkpoint. For each proposed variant, a reference procedure should demonstrate that the task is feasible under the same tool contract. Review should cover correct completion, plausible incorrect completion and unavailable measurements before model collection. The current task variants are design requirements; legacy fixture names do not establish their implementation.</w:t>
      </w:r>
    </w:p>
    <w:p>
      <w:pPr>
        <w:pStyle w:val="HeadingCenter"/>
        <w:keepNext w:val="true"/>
        <w:bidi w:val="0"/>
        <w:spacing w:lineRule="auto" w:line="480" w:before="216" w:after="0"/>
        <w:jc w:val="center"/>
        <w:rPr/>
      </w:pPr>
      <w:r>
        <w:rPr/>
        <w:t>6 Baseline agents</w:t>
      </w:r>
    </w:p>
    <w:p>
      <w:pPr>
        <w:pStyle w:val="Body"/>
        <w:bidi w:val="0"/>
        <w:spacing w:lineRule="auto" w:line="480"/>
        <w:ind w:firstLine="720"/>
        <w:jc w:val="start"/>
        <w:rPr/>
      </w:pPr>
      <w:r>
        <w:rPr/>
        <w:t>The planned agent is Codex CLI with only the environment’s MCP tools, run through an isolated collector. The planned model arms are GPT-6.1-Sol, GPT-6-Astra and GPT-6-Luna. A Claude arm is a possible later extension.</w:t>
      </w:r>
    </w:p>
    <w:p>
      <w:pPr>
        <w:pStyle w:val="Body"/>
        <w:bidi w:val="0"/>
        <w:spacing w:lineRule="auto" w:line="480"/>
        <w:ind w:firstLine="720"/>
        <w:jc w:val="start"/>
        <w:rPr/>
      </w:pPr>
      <w:r>
        <w:rPr/>
        <w:t>The scripted correct repair is the environment reference, not a competing language model. It must execute the intended job with valid access and actions and satisfy the complete checkpoint set. Deliberately incorrect jobs test evaluator sensitivity to wrong order, wrong torque, omitted stages, incorrect parts, missed measurements and timing errors.</w:t>
      </w:r>
    </w:p>
    <w:p>
      <w:pPr>
        <w:pStyle w:val="Body"/>
        <w:bidi w:val="0"/>
        <w:spacing w:lineRule="auto" w:line="480"/>
        <w:ind w:firstLine="720"/>
        <w:jc w:val="start"/>
        <w:rPr/>
      </w:pPr>
      <w:r>
        <w:rPr/>
        <w:t>The exploratory run budget and earlier attempts remain in the accounting. Actual standard-task observations are reported below; the larger model-by-variant matrix remains pending. Requested and served model identifiers, transport refusals and stopping states retain their recorded meanings.</w:t>
      </w:r>
    </w:p>
    <w:p>
      <w:pPr>
        <w:pStyle w:val="Body"/>
        <w:bidi w:val="0"/>
        <w:spacing w:lineRule="auto" w:line="480"/>
        <w:ind w:firstLine="720"/>
        <w:jc w:val="start"/>
        <w:rPr/>
      </w:pPr>
      <w:r>
        <w:rPr/>
        <w:t>Report requested and returned model identifiers separately, with agent version, prompt, decoding controls, budgets, tools, context handling and retry policy. A configured model name does not prove the served model. Tool transport or process-cleanup fixtures do not establish production collection behavior [5].</w:t>
      </w:r>
    </w:p>
    <w:p>
      <w:pPr>
        <w:sectPr>
          <w:type w:val="nextPage"/>
          <w:pgSz w:w="12240" w:h="15840"/>
          <w:pgMar w:left="1440" w:right="1440" w:gutter="0" w:header="0" w:top="1440" w:footer="0" w:bottom="1440"/>
          <w:pgNumType w:fmt="decimal"/>
          <w:formProt w:val="false"/>
          <w:textDirection w:val="lrTb"/>
          <w:docGrid w:type="default" w:linePitch="600" w:charSpace="32768"/>
        </w:sectPr>
        <w:pStyle w:val="Body"/>
        <w:bidi w:val="0"/>
        <w:spacing w:lineRule="auto" w:line="480"/>
        <w:ind w:firstLine="720"/>
        <w:jc w:val="start"/>
        <w:rPr/>
      </w:pPr>
      <w:r>
        <w:rPr/>
        <w:t>An agent condition consists of the model and its execution harness. The collection record should specify the declared model version, inference settings, instructions, context policy, tools, stopping rule and retries. Conditions should receive the same task information and evaluation contract. Complete original-rule references are separate from the earlier incomplete diagnostics. References under the amended rules still need their own validation. Scripted usage fields and unavailable model telemetry must retain their recorded meanings [5].</w:t>
      </w:r>
    </w:p>
    <w:p>
      <w:pPr>
        <w:pStyle w:val="LandscapeFigureHeading"/>
        <w:bidi w:val="0"/>
        <w:jc w:val="start"/>
        <w:rPr/>
      </w:pPr>
      <w:r>
        <w:rPr/>
        <w:t>7 Experimental results</w:t>
      </w:r>
    </w:p>
    <w:p>
      <w:pPr>
        <w:pStyle w:val="TableCaption"/>
        <w:keepNext w:val="true"/>
        <w:bidi w:val="0"/>
        <w:jc w:val="start"/>
        <w:rPr/>
      </w:pPr>
      <w:r>
        <w:rPr/>
        <w:t>Table 1. Experimental results</w:t>
      </w:r>
    </w:p>
    <w:tbl>
      <w:tblPr>
        <w:tblW w:w="12960" w:type="dxa"/>
        <w:jc w:val="start"/>
        <w:tblInd w:w="0" w:type="dxa"/>
        <w:tblLayout w:type="fixed"/>
        <w:tblCellMar>
          <w:top w:w="58" w:type="dxa"/>
          <w:start w:w="58" w:type="dxa"/>
          <w:bottom w:w="58" w:type="dxa"/>
          <w:end w:w="58" w:type="dxa"/>
        </w:tblCellMar>
      </w:tblPr>
      <w:tblGrid>
        <w:gridCol w:w="1440"/>
        <w:gridCol w:w="2016"/>
        <w:gridCol w:w="936"/>
        <w:gridCol w:w="936"/>
        <w:gridCol w:w="1080"/>
        <w:gridCol w:w="792"/>
        <w:gridCol w:w="792"/>
        <w:gridCol w:w="3744"/>
        <w:gridCol w:w="1224"/>
      </w:tblGrid>
      <w:tr>
        <w:trPr/>
        <w:tc>
          <w:tcPr>
            <w:tcW w:w="1440" w:type="dxa"/>
            <w:tcBorders>
              <w:bottom w:val="single" w:sz="2" w:space="0" w:color="CCCCCC"/>
            </w:tcBorders>
          </w:tcPr>
          <w:p>
            <w:pPr>
              <w:pStyle w:val="CompactTableText"/>
              <w:bidi w:val="0"/>
              <w:spacing w:lineRule="auto" w:line="264" w:before="0" w:after="43"/>
              <w:jc w:val="start"/>
              <w:rPr/>
            </w:pPr>
            <w:r>
              <w:rPr>
                <w:rStyle w:val="Tb"/>
              </w:rPr>
              <w:t>Agent</w:t>
            </w:r>
          </w:p>
        </w:tc>
        <w:tc>
          <w:tcPr>
            <w:tcW w:w="2016" w:type="dxa"/>
            <w:tcBorders>
              <w:bottom w:val="single" w:sz="2" w:space="0" w:color="CCCCCC"/>
            </w:tcBorders>
          </w:tcPr>
          <w:p>
            <w:pPr>
              <w:pStyle w:val="CompactTableText"/>
              <w:bidi w:val="0"/>
              <w:spacing w:lineRule="auto" w:line="264" w:before="0" w:after="43"/>
              <w:jc w:val="start"/>
              <w:rPr/>
            </w:pPr>
            <w:r>
              <w:rPr>
                <w:rStyle w:val="Tb"/>
              </w:rPr>
              <w:t>Model</w:t>
            </w:r>
          </w:p>
        </w:tc>
        <w:tc>
          <w:tcPr>
            <w:tcW w:w="936" w:type="dxa"/>
            <w:tcBorders>
              <w:bottom w:val="single" w:sz="2" w:space="0" w:color="CCCCCC"/>
            </w:tcBorders>
          </w:tcPr>
          <w:p>
            <w:pPr>
              <w:pStyle w:val="CompactTableText"/>
              <w:bidi w:val="0"/>
              <w:spacing w:lineRule="auto" w:line="264" w:before="0" w:after="43"/>
              <w:jc w:val="start"/>
              <w:rPr/>
            </w:pPr>
            <w:r>
              <w:rPr>
                <w:rStyle w:val="Tb"/>
              </w:rPr>
              <w:t>Success</w:t>
            </w:r>
          </w:p>
        </w:tc>
        <w:tc>
          <w:tcPr>
            <w:tcW w:w="936" w:type="dxa"/>
            <w:tcBorders>
              <w:bottom w:val="single" w:sz="2" w:space="0" w:color="CCCCCC"/>
            </w:tcBorders>
          </w:tcPr>
          <w:p>
            <w:pPr>
              <w:pStyle w:val="CompactTableText"/>
              <w:bidi w:val="0"/>
              <w:spacing w:lineRule="auto" w:line="264" w:before="0" w:after="43"/>
              <w:jc w:val="start"/>
              <w:rPr/>
            </w:pPr>
            <w:r>
              <w:rPr>
                <w:rStyle w:val="Tb"/>
              </w:rPr>
              <w:t>Score</w:t>
            </w:r>
          </w:p>
        </w:tc>
        <w:tc>
          <w:tcPr>
            <w:tcW w:w="1080" w:type="dxa"/>
            <w:tcBorders>
              <w:bottom w:val="single" w:sz="2" w:space="0" w:color="CCCCCC"/>
            </w:tcBorders>
          </w:tcPr>
          <w:p>
            <w:pPr>
              <w:pStyle w:val="CompactTableText"/>
              <w:bidi w:val="0"/>
              <w:spacing w:lineRule="auto" w:line="264" w:before="0" w:after="43"/>
              <w:jc w:val="start"/>
              <w:rPr/>
            </w:pPr>
            <w:r>
              <w:rPr>
                <w:rStyle w:val="Tb"/>
              </w:rPr>
              <w:t>Points (of 18)</w:t>
            </w:r>
          </w:p>
        </w:tc>
        <w:tc>
          <w:tcPr>
            <w:tcW w:w="792" w:type="dxa"/>
            <w:tcBorders>
              <w:bottom w:val="single" w:sz="2" w:space="0" w:color="CCCCCC"/>
            </w:tcBorders>
          </w:tcPr>
          <w:p>
            <w:pPr>
              <w:pStyle w:val="CompactTableText"/>
              <w:bidi w:val="0"/>
              <w:spacing w:lineRule="auto" w:line="264" w:before="0" w:after="43"/>
              <w:jc w:val="start"/>
              <w:rPr/>
            </w:pPr>
            <w:r>
              <w:rPr>
                <w:rStyle w:val="Tb"/>
              </w:rPr>
              <w:t>Steps</w:t>
            </w:r>
          </w:p>
        </w:tc>
        <w:tc>
          <w:tcPr>
            <w:tcW w:w="792" w:type="dxa"/>
            <w:tcBorders>
              <w:bottom w:val="single" w:sz="2" w:space="0" w:color="CCCCCC"/>
            </w:tcBorders>
          </w:tcPr>
          <w:p>
            <w:pPr>
              <w:pStyle w:val="CompactTableText"/>
              <w:bidi w:val="0"/>
              <w:spacing w:lineRule="auto" w:line="264" w:before="0" w:after="43"/>
              <w:jc w:val="start"/>
              <w:rPr/>
            </w:pPr>
            <w:r>
              <w:rPr>
                <w:rStyle w:val="Tb"/>
              </w:rPr>
              <w:t>Cost</w:t>
            </w:r>
          </w:p>
        </w:tc>
        <w:tc>
          <w:tcPr>
            <w:tcW w:w="3744" w:type="dxa"/>
            <w:tcBorders>
              <w:bottom w:val="single" w:sz="2" w:space="0" w:color="CCCCCC"/>
            </w:tcBorders>
          </w:tcPr>
          <w:p>
            <w:pPr>
              <w:pStyle w:val="CompactTableText"/>
              <w:bidi w:val="0"/>
              <w:spacing w:lineRule="auto" w:line="264" w:before="0" w:after="43"/>
              <w:jc w:val="start"/>
              <w:rPr/>
            </w:pPr>
            <w:r>
              <w:rPr>
                <w:rStyle w:val="Tb"/>
              </w:rPr>
              <w:t>Technician time, s (productive + penalty)</w:t>
            </w:r>
          </w:p>
        </w:tc>
        <w:tc>
          <w:tcPr>
            <w:tcW w:w="1224" w:type="dxa"/>
            <w:tcBorders>
              <w:bottom w:val="single" w:sz="2" w:space="0" w:color="CCCCCC"/>
            </w:tcBorders>
          </w:tcPr>
          <w:p>
            <w:pPr>
              <w:pStyle w:val="CompactTableText"/>
              <w:bidi w:val="0"/>
              <w:spacing w:lineRule="auto" w:line="264" w:before="0" w:after="43"/>
              <w:jc w:val="start"/>
              <w:rPr/>
            </w:pPr>
            <w:r>
              <w:rPr>
                <w:rStyle w:val="Tb"/>
              </w:rPr>
              <w:t>Mistakes</w:t>
            </w:r>
          </w:p>
        </w:tc>
      </w:tr>
      <w:tr>
        <w:trPr/>
        <w:tc>
          <w:tcPr>
            <w:tcW w:w="1440" w:type="dxa"/>
            <w:tcBorders>
              <w:bottom w:val="single" w:sz="2" w:space="0" w:color="CCCCCC"/>
            </w:tcBorders>
          </w:tcPr>
          <w:p>
            <w:pPr>
              <w:pStyle w:val="CompactTableText"/>
              <w:bidi w:val="0"/>
              <w:spacing w:lineRule="auto" w:line="264" w:before="0" w:after="43"/>
              <w:jc w:val="start"/>
              <w:rPr/>
            </w:pPr>
            <w:r>
              <w:rPr/>
              <w:t>Scripted reference</w:t>
            </w:r>
          </w:p>
        </w:tc>
        <w:tc>
          <w:tcPr>
            <w:tcW w:w="2016" w:type="dxa"/>
            <w:tcBorders>
              <w:bottom w:val="single" w:sz="2" w:space="0" w:color="CCCCCC"/>
            </w:tcBorders>
          </w:tcPr>
          <w:p>
            <w:pPr>
              <w:pStyle w:val="CompactTableText"/>
              <w:bidi w:val="0"/>
              <w:spacing w:lineRule="auto" w:line="264" w:before="0" w:after="43"/>
              <w:jc w:val="start"/>
              <w:rPr/>
            </w:pPr>
            <w:r>
              <w:rPr/>
              <w:t>n/a</w:t>
            </w:r>
          </w:p>
        </w:tc>
        <w:tc>
          <w:tcPr>
            <w:tcW w:w="936" w:type="dxa"/>
            <w:tcBorders>
              <w:bottom w:val="single" w:sz="2" w:space="0" w:color="CCCCCC"/>
            </w:tcBorders>
          </w:tcPr>
          <w:p>
            <w:pPr>
              <w:pStyle w:val="CompactTableText"/>
              <w:bidi w:val="0"/>
              <w:spacing w:lineRule="auto" w:line="264" w:before="0" w:after="43"/>
              <w:jc w:val="start"/>
              <w:rPr/>
            </w:pPr>
            <w:r>
              <w:rPr/>
              <w:t>100%</w:t>
            </w:r>
          </w:p>
        </w:tc>
        <w:tc>
          <w:tcPr>
            <w:tcW w:w="936" w:type="dxa"/>
            <w:tcBorders>
              <w:bottom w:val="single" w:sz="2" w:space="0" w:color="CCCCCC"/>
            </w:tcBorders>
          </w:tcPr>
          <w:p>
            <w:pPr>
              <w:pStyle w:val="CompactTableText"/>
              <w:bidi w:val="0"/>
              <w:spacing w:lineRule="auto" w:line="264" w:before="0" w:after="43"/>
              <w:jc w:val="start"/>
              <w:rPr/>
            </w:pPr>
            <w:r>
              <w:rPr/>
              <w:t>100%</w:t>
            </w:r>
          </w:p>
        </w:tc>
        <w:tc>
          <w:tcPr>
            <w:tcW w:w="1080" w:type="dxa"/>
            <w:tcBorders>
              <w:bottom w:val="single" w:sz="2" w:space="0" w:color="CCCCCC"/>
            </w:tcBorders>
          </w:tcPr>
          <w:p>
            <w:pPr>
              <w:pStyle w:val="CompactTableText"/>
              <w:bidi w:val="0"/>
              <w:spacing w:lineRule="auto" w:line="264" w:before="0" w:after="43"/>
              <w:jc w:val="start"/>
              <w:rPr/>
            </w:pPr>
            <w:r>
              <w:rPr/>
              <w:t>18</w:t>
            </w:r>
          </w:p>
        </w:tc>
        <w:tc>
          <w:tcPr>
            <w:tcW w:w="792" w:type="dxa"/>
            <w:tcBorders>
              <w:bottom w:val="single" w:sz="2" w:space="0" w:color="CCCCCC"/>
            </w:tcBorders>
          </w:tcPr>
          <w:p>
            <w:pPr>
              <w:pStyle w:val="CompactTableText"/>
              <w:bidi w:val="0"/>
              <w:spacing w:lineRule="auto" w:line="264" w:before="0" w:after="43"/>
              <w:jc w:val="start"/>
              <w:rPr/>
            </w:pPr>
            <w:r>
              <w:rPr/>
              <w:t>n/a</w:t>
            </w:r>
          </w:p>
        </w:tc>
        <w:tc>
          <w:tcPr>
            <w:tcW w:w="792" w:type="dxa"/>
            <w:tcBorders>
              <w:bottom w:val="single" w:sz="2" w:space="0" w:color="CCCCCC"/>
            </w:tcBorders>
          </w:tcPr>
          <w:p>
            <w:pPr>
              <w:pStyle w:val="CompactTableText"/>
              <w:bidi w:val="0"/>
              <w:spacing w:lineRule="auto" w:line="264" w:before="0" w:after="43"/>
              <w:jc w:val="start"/>
              <w:rPr/>
            </w:pPr>
            <w:r>
              <w:rPr/>
              <w:t>n/a</w:t>
            </w:r>
          </w:p>
        </w:tc>
        <w:tc>
          <w:tcPr>
            <w:tcW w:w="3744" w:type="dxa"/>
            <w:tcBorders>
              <w:bottom w:val="single" w:sz="2" w:space="0" w:color="CCCCCC"/>
            </w:tcBorders>
          </w:tcPr>
          <w:p>
            <w:pPr>
              <w:pStyle w:val="CompactTableText"/>
              <w:bidi w:val="0"/>
              <w:spacing w:lineRule="auto" w:line="264" w:before="0" w:after="43"/>
              <w:jc w:val="start"/>
              <w:rPr/>
            </w:pPr>
            <w:r>
              <w:rPr/>
              <w:t>13,630 + 0</w:t>
            </w:r>
          </w:p>
        </w:tc>
        <w:tc>
          <w:tcPr>
            <w:tcW w:w="1224" w:type="dxa"/>
            <w:tcBorders>
              <w:bottom w:val="single" w:sz="2" w:space="0" w:color="CCCCCC"/>
            </w:tcBorders>
          </w:tcPr>
          <w:p>
            <w:pPr>
              <w:pStyle w:val="CompactTableText"/>
              <w:bidi w:val="0"/>
              <w:spacing w:lineRule="auto" w:line="264" w:before="0" w:after="43"/>
              <w:jc w:val="start"/>
              <w:rPr/>
            </w:pPr>
            <w:r>
              <w:rPr/>
              <w:t>0</w:t>
            </w:r>
          </w:p>
        </w:tc>
      </w:tr>
      <w:tr>
        <w:trPr/>
        <w:tc>
          <w:tcPr>
            <w:tcW w:w="1440" w:type="dxa"/>
            <w:tcBorders>
              <w:bottom w:val="single" w:sz="2" w:space="0" w:color="CCCCCC"/>
            </w:tcBorders>
          </w:tcPr>
          <w:p>
            <w:pPr>
              <w:pStyle w:val="CompactTableText"/>
              <w:bidi w:val="0"/>
              <w:spacing w:lineRule="auto" w:line="264" w:before="0" w:after="43"/>
              <w:jc w:val="start"/>
              <w:rPr/>
            </w:pPr>
            <w:r>
              <w:rPr/>
              <w:t>Codex CLI</w:t>
            </w:r>
          </w:p>
        </w:tc>
        <w:tc>
          <w:tcPr>
            <w:tcW w:w="2016" w:type="dxa"/>
            <w:tcBorders>
              <w:bottom w:val="single" w:sz="2" w:space="0" w:color="CCCCCC"/>
            </w:tcBorders>
          </w:tcPr>
          <w:p>
            <w:pPr>
              <w:pStyle w:val="CompactTableText"/>
              <w:bidi w:val="0"/>
              <w:spacing w:lineRule="auto" w:line="264" w:before="0" w:after="43"/>
              <w:jc w:val="start"/>
              <w:rPr/>
            </w:pPr>
            <w:r>
              <w:rPr/>
              <w:t>GPT-6-Astra</w:t>
            </w:r>
          </w:p>
        </w:tc>
        <w:tc>
          <w:tcPr>
            <w:tcW w:w="936" w:type="dxa"/>
            <w:tcBorders>
              <w:bottom w:val="single" w:sz="2" w:space="0" w:color="CCCCCC"/>
            </w:tcBorders>
          </w:tcPr>
          <w:p>
            <w:pPr>
              <w:pStyle w:val="CompactTableText"/>
              <w:bidi w:val="0"/>
              <w:spacing w:lineRule="auto" w:line="264" w:before="0" w:after="43"/>
              <w:jc w:val="start"/>
              <w:rPr/>
            </w:pPr>
            <w:r>
              <w:rPr/>
              <w:t>0%</w:t>
            </w:r>
          </w:p>
        </w:tc>
        <w:tc>
          <w:tcPr>
            <w:tcW w:w="936" w:type="dxa"/>
            <w:tcBorders>
              <w:bottom w:val="single" w:sz="2" w:space="0" w:color="CCCCCC"/>
            </w:tcBorders>
          </w:tcPr>
          <w:p>
            <w:pPr>
              <w:pStyle w:val="CompactTableText"/>
              <w:bidi w:val="0"/>
              <w:spacing w:lineRule="auto" w:line="264" w:before="0" w:after="43"/>
              <w:jc w:val="start"/>
              <w:rPr/>
            </w:pPr>
            <w:r>
              <w:rPr/>
              <w:t>41.7%</w:t>
            </w:r>
          </w:p>
        </w:tc>
        <w:tc>
          <w:tcPr>
            <w:tcW w:w="1080" w:type="dxa"/>
            <w:tcBorders>
              <w:bottom w:val="single" w:sz="2" w:space="0" w:color="CCCCCC"/>
            </w:tcBorders>
          </w:tcPr>
          <w:p>
            <w:pPr>
              <w:pStyle w:val="CompactTableText"/>
              <w:bidi w:val="0"/>
              <w:spacing w:lineRule="auto" w:line="264" w:before="0" w:after="43"/>
              <w:jc w:val="start"/>
              <w:rPr/>
            </w:pPr>
            <w:r>
              <w:rPr/>
              <w:t>15</w:t>
            </w:r>
          </w:p>
        </w:tc>
        <w:tc>
          <w:tcPr>
            <w:tcW w:w="792" w:type="dxa"/>
            <w:tcBorders>
              <w:bottom w:val="single" w:sz="2" w:space="0" w:color="CCCCCC"/>
            </w:tcBorders>
          </w:tcPr>
          <w:p>
            <w:pPr>
              <w:pStyle w:val="CompactTableText"/>
              <w:bidi w:val="0"/>
              <w:spacing w:lineRule="auto" w:line="264" w:before="0" w:after="43"/>
              <w:jc w:val="start"/>
              <w:rPr/>
            </w:pPr>
            <w:r>
              <w:rPr/>
              <w:t>n/a*</w:t>
            </w:r>
          </w:p>
        </w:tc>
        <w:tc>
          <w:tcPr>
            <w:tcW w:w="792" w:type="dxa"/>
            <w:tcBorders>
              <w:bottom w:val="single" w:sz="2" w:space="0" w:color="CCCCCC"/>
            </w:tcBorders>
          </w:tcPr>
          <w:p>
            <w:pPr>
              <w:pStyle w:val="CompactTableText"/>
              <w:bidi w:val="0"/>
              <w:spacing w:lineRule="auto" w:line="264" w:before="0" w:after="43"/>
              <w:jc w:val="start"/>
              <w:rPr/>
            </w:pPr>
            <w:r>
              <w:rPr/>
              <w:t>n/a*</w:t>
            </w:r>
          </w:p>
        </w:tc>
        <w:tc>
          <w:tcPr>
            <w:tcW w:w="3744" w:type="dxa"/>
            <w:tcBorders>
              <w:bottom w:val="single" w:sz="2" w:space="0" w:color="CCCCCC"/>
            </w:tcBorders>
          </w:tcPr>
          <w:p>
            <w:pPr>
              <w:pStyle w:val="CompactTableText"/>
              <w:bidi w:val="0"/>
              <w:spacing w:lineRule="auto" w:line="264" w:before="0" w:after="43"/>
              <w:jc w:val="start"/>
              <w:rPr/>
            </w:pPr>
            <w:r>
              <w:rPr/>
              <w:t>16,190 + 1,404</w:t>
            </w:r>
          </w:p>
        </w:tc>
        <w:tc>
          <w:tcPr>
            <w:tcW w:w="1224" w:type="dxa"/>
            <w:tcBorders>
              <w:bottom w:val="single" w:sz="2" w:space="0" w:color="CCCCCC"/>
            </w:tcBorders>
          </w:tcPr>
          <w:p>
            <w:pPr>
              <w:pStyle w:val="CompactTableText"/>
              <w:bidi w:val="0"/>
              <w:spacing w:lineRule="auto" w:line="264" w:before="0" w:after="43"/>
              <w:jc w:val="start"/>
              <w:rPr/>
            </w:pPr>
            <w:r>
              <w:rPr/>
              <w:t>30</w:t>
            </w:r>
          </w:p>
        </w:tc>
      </w:tr>
      <w:tr>
        <w:trPr/>
        <w:tc>
          <w:tcPr>
            <w:tcW w:w="1440" w:type="dxa"/>
            <w:tcBorders>
              <w:bottom w:val="single" w:sz="2" w:space="0" w:color="CCCCCC"/>
            </w:tcBorders>
          </w:tcPr>
          <w:p>
            <w:pPr>
              <w:pStyle w:val="CompactTableText"/>
              <w:bidi w:val="0"/>
              <w:spacing w:lineRule="auto" w:line="264" w:before="0" w:after="43"/>
              <w:jc w:val="start"/>
              <w:rPr/>
            </w:pPr>
            <w:r>
              <w:rPr/>
              <w:t>Codex CLI</w:t>
            </w:r>
          </w:p>
        </w:tc>
        <w:tc>
          <w:tcPr>
            <w:tcW w:w="2016" w:type="dxa"/>
            <w:tcBorders>
              <w:bottom w:val="single" w:sz="2" w:space="0" w:color="CCCCCC"/>
            </w:tcBorders>
          </w:tcPr>
          <w:p>
            <w:pPr>
              <w:pStyle w:val="CompactTableText"/>
              <w:bidi w:val="0"/>
              <w:spacing w:lineRule="auto" w:line="264" w:before="0" w:after="43"/>
              <w:jc w:val="start"/>
              <w:rPr/>
            </w:pPr>
            <w:r>
              <w:rPr/>
              <w:t>GPT-6-Luna</w:t>
            </w:r>
          </w:p>
        </w:tc>
        <w:tc>
          <w:tcPr>
            <w:tcW w:w="936" w:type="dxa"/>
            <w:tcBorders>
              <w:bottom w:val="single" w:sz="2" w:space="0" w:color="CCCCCC"/>
            </w:tcBorders>
          </w:tcPr>
          <w:p>
            <w:pPr>
              <w:pStyle w:val="CompactTableText"/>
              <w:bidi w:val="0"/>
              <w:spacing w:lineRule="auto" w:line="264" w:before="0" w:after="43"/>
              <w:jc w:val="start"/>
              <w:rPr/>
            </w:pPr>
            <w:r>
              <w:rPr/>
              <w:t>0%</w:t>
            </w:r>
          </w:p>
        </w:tc>
        <w:tc>
          <w:tcPr>
            <w:tcW w:w="936" w:type="dxa"/>
            <w:tcBorders>
              <w:bottom w:val="single" w:sz="2" w:space="0" w:color="CCCCCC"/>
            </w:tcBorders>
          </w:tcPr>
          <w:p>
            <w:pPr>
              <w:pStyle w:val="CompactTableText"/>
              <w:bidi w:val="0"/>
              <w:spacing w:lineRule="auto" w:line="264" w:before="0" w:after="43"/>
              <w:jc w:val="start"/>
              <w:rPr/>
            </w:pPr>
            <w:r>
              <w:rPr/>
              <w:t>36.1%</w:t>
            </w:r>
          </w:p>
        </w:tc>
        <w:tc>
          <w:tcPr>
            <w:tcW w:w="1080" w:type="dxa"/>
            <w:tcBorders>
              <w:bottom w:val="single" w:sz="2" w:space="0" w:color="CCCCCC"/>
            </w:tcBorders>
          </w:tcPr>
          <w:p>
            <w:pPr>
              <w:pStyle w:val="CompactTableText"/>
              <w:bidi w:val="0"/>
              <w:spacing w:lineRule="auto" w:line="264" w:before="0" w:after="43"/>
              <w:jc w:val="start"/>
              <w:rPr/>
            </w:pPr>
            <w:r>
              <w:rPr/>
              <w:t>13</w:t>
            </w:r>
          </w:p>
        </w:tc>
        <w:tc>
          <w:tcPr>
            <w:tcW w:w="792" w:type="dxa"/>
            <w:tcBorders>
              <w:bottom w:val="single" w:sz="2" w:space="0" w:color="CCCCCC"/>
            </w:tcBorders>
          </w:tcPr>
          <w:p>
            <w:pPr>
              <w:pStyle w:val="CompactTableText"/>
              <w:bidi w:val="0"/>
              <w:spacing w:lineRule="auto" w:line="264" w:before="0" w:after="43"/>
              <w:jc w:val="start"/>
              <w:rPr/>
            </w:pPr>
            <w:r>
              <w:rPr/>
              <w:t>n/a*</w:t>
            </w:r>
          </w:p>
        </w:tc>
        <w:tc>
          <w:tcPr>
            <w:tcW w:w="792" w:type="dxa"/>
            <w:tcBorders>
              <w:bottom w:val="single" w:sz="2" w:space="0" w:color="CCCCCC"/>
            </w:tcBorders>
          </w:tcPr>
          <w:p>
            <w:pPr>
              <w:pStyle w:val="CompactTableText"/>
              <w:bidi w:val="0"/>
              <w:spacing w:lineRule="auto" w:line="264" w:before="0" w:after="43"/>
              <w:jc w:val="start"/>
              <w:rPr/>
            </w:pPr>
            <w:r>
              <w:rPr/>
              <w:t>n/a*</w:t>
            </w:r>
          </w:p>
        </w:tc>
        <w:tc>
          <w:tcPr>
            <w:tcW w:w="3744" w:type="dxa"/>
            <w:tcBorders>
              <w:bottom w:val="single" w:sz="2" w:space="0" w:color="CCCCCC"/>
            </w:tcBorders>
          </w:tcPr>
          <w:p>
            <w:pPr>
              <w:pStyle w:val="CompactTableText"/>
              <w:bidi w:val="0"/>
              <w:spacing w:lineRule="auto" w:line="264" w:before="0" w:after="43"/>
              <w:jc w:val="start"/>
              <w:rPr/>
            </w:pPr>
            <w:r>
              <w:rPr/>
              <w:t>15,230 + 14,970</w:t>
            </w:r>
          </w:p>
        </w:tc>
        <w:tc>
          <w:tcPr>
            <w:tcW w:w="1224" w:type="dxa"/>
            <w:tcBorders>
              <w:bottom w:val="single" w:sz="2" w:space="0" w:color="CCCCCC"/>
            </w:tcBorders>
          </w:tcPr>
          <w:p>
            <w:pPr>
              <w:pStyle w:val="CompactTableText"/>
              <w:bidi w:val="0"/>
              <w:spacing w:lineRule="auto" w:line="264" w:before="0" w:after="43"/>
              <w:jc w:val="start"/>
              <w:rPr/>
            </w:pPr>
            <w:r>
              <w:rPr/>
              <w:t>309</w:t>
            </w:r>
          </w:p>
        </w:tc>
      </w:tr>
      <w:tr>
        <w:trPr/>
        <w:tc>
          <w:tcPr>
            <w:tcW w:w="1440" w:type="dxa"/>
            <w:tcBorders>
              <w:bottom w:val="single" w:sz="2" w:space="0" w:color="CCCCCC"/>
            </w:tcBorders>
          </w:tcPr>
          <w:p>
            <w:pPr>
              <w:pStyle w:val="CompactTableText"/>
              <w:bidi w:val="0"/>
              <w:spacing w:lineRule="auto" w:line="264" w:before="0" w:after="43"/>
              <w:jc w:val="start"/>
              <w:rPr/>
            </w:pPr>
            <w:r>
              <w:rPr/>
              <w:t>Codex CLI</w:t>
            </w:r>
          </w:p>
        </w:tc>
        <w:tc>
          <w:tcPr>
            <w:tcW w:w="2016" w:type="dxa"/>
            <w:tcBorders>
              <w:bottom w:val="single" w:sz="2" w:space="0" w:color="CCCCCC"/>
            </w:tcBorders>
          </w:tcPr>
          <w:p>
            <w:pPr>
              <w:pStyle w:val="CompactTableText"/>
              <w:bidi w:val="0"/>
              <w:spacing w:lineRule="auto" w:line="264" w:before="0" w:after="43"/>
              <w:jc w:val="start"/>
              <w:rPr/>
            </w:pPr>
            <w:r>
              <w:rPr/>
              <w:t>GPT-6.1-Sol</w:t>
            </w:r>
          </w:p>
        </w:tc>
        <w:tc>
          <w:tcPr>
            <w:tcW w:w="936" w:type="dxa"/>
            <w:tcBorders>
              <w:bottom w:val="single" w:sz="2" w:space="0" w:color="CCCCCC"/>
            </w:tcBorders>
          </w:tcPr>
          <w:p>
            <w:pPr>
              <w:pStyle w:val="CompactTableText"/>
              <w:bidi w:val="0"/>
              <w:spacing w:lineRule="auto" w:line="264" w:before="0" w:after="43"/>
              <w:jc w:val="start"/>
              <w:rPr/>
            </w:pPr>
            <w:r>
              <w:rPr/>
              <w:t>0%</w:t>
            </w:r>
          </w:p>
        </w:tc>
        <w:tc>
          <w:tcPr>
            <w:tcW w:w="936" w:type="dxa"/>
            <w:tcBorders>
              <w:bottom w:val="single" w:sz="2" w:space="0" w:color="CCCCCC"/>
            </w:tcBorders>
          </w:tcPr>
          <w:p>
            <w:pPr>
              <w:pStyle w:val="CompactTableText"/>
              <w:bidi w:val="0"/>
              <w:spacing w:lineRule="auto" w:line="264" w:before="0" w:after="43"/>
              <w:jc w:val="start"/>
              <w:rPr/>
            </w:pPr>
            <w:r>
              <w:rPr/>
              <w:t>8.3%</w:t>
            </w:r>
          </w:p>
        </w:tc>
        <w:tc>
          <w:tcPr>
            <w:tcW w:w="1080" w:type="dxa"/>
            <w:tcBorders>
              <w:bottom w:val="single" w:sz="2" w:space="0" w:color="CCCCCC"/>
            </w:tcBorders>
          </w:tcPr>
          <w:p>
            <w:pPr>
              <w:pStyle w:val="CompactTableText"/>
              <w:bidi w:val="0"/>
              <w:spacing w:lineRule="auto" w:line="264" w:before="0" w:after="43"/>
              <w:jc w:val="start"/>
              <w:rPr/>
            </w:pPr>
            <w:r>
              <w:rPr/>
              <w:t>3</w:t>
            </w:r>
          </w:p>
        </w:tc>
        <w:tc>
          <w:tcPr>
            <w:tcW w:w="792" w:type="dxa"/>
            <w:tcBorders>
              <w:bottom w:val="single" w:sz="2" w:space="0" w:color="CCCCCC"/>
            </w:tcBorders>
          </w:tcPr>
          <w:p>
            <w:pPr>
              <w:pStyle w:val="CompactTableText"/>
              <w:bidi w:val="0"/>
              <w:spacing w:lineRule="auto" w:line="264" w:before="0" w:after="43"/>
              <w:jc w:val="start"/>
              <w:rPr/>
            </w:pPr>
            <w:r>
              <w:rPr/>
              <w:t>n/a*</w:t>
            </w:r>
          </w:p>
        </w:tc>
        <w:tc>
          <w:tcPr>
            <w:tcW w:w="792" w:type="dxa"/>
            <w:tcBorders>
              <w:bottom w:val="single" w:sz="2" w:space="0" w:color="CCCCCC"/>
            </w:tcBorders>
          </w:tcPr>
          <w:p>
            <w:pPr>
              <w:pStyle w:val="CompactTableText"/>
              <w:bidi w:val="0"/>
              <w:spacing w:lineRule="auto" w:line="264" w:before="0" w:after="43"/>
              <w:jc w:val="start"/>
              <w:rPr/>
            </w:pPr>
            <w:r>
              <w:rPr/>
              <w:t>n/a*</w:t>
            </w:r>
          </w:p>
        </w:tc>
        <w:tc>
          <w:tcPr>
            <w:tcW w:w="3744" w:type="dxa"/>
            <w:tcBorders>
              <w:bottom w:val="single" w:sz="2" w:space="0" w:color="CCCCCC"/>
            </w:tcBorders>
          </w:tcPr>
          <w:p>
            <w:pPr>
              <w:pStyle w:val="CompactTableText"/>
              <w:bidi w:val="0"/>
              <w:spacing w:lineRule="auto" w:line="264" w:before="0" w:after="43"/>
              <w:jc w:val="start"/>
              <w:rPr/>
            </w:pPr>
            <w:r>
              <w:rPr/>
              <w:t>13,280 + 12,012</w:t>
            </w:r>
          </w:p>
        </w:tc>
        <w:tc>
          <w:tcPr>
            <w:tcW w:w="1224" w:type="dxa"/>
            <w:tcBorders>
              <w:bottom w:val="single" w:sz="2" w:space="0" w:color="CCCCCC"/>
            </w:tcBorders>
          </w:tcPr>
          <w:p>
            <w:pPr>
              <w:pStyle w:val="CompactTableText"/>
              <w:bidi w:val="0"/>
              <w:spacing w:lineRule="auto" w:line="264" w:before="0" w:after="43"/>
              <w:jc w:val="start"/>
              <w:rPr/>
            </w:pPr>
            <w:r>
              <w:rPr/>
              <w:t>245</w:t>
            </w:r>
          </w:p>
        </w:tc>
      </w:tr>
    </w:tbl>
    <w:p>
      <w:pPr>
        <w:pStyle w:val="SourceCitation"/>
        <w:keepLines/>
        <w:bidi w:val="0"/>
        <w:spacing w:lineRule="auto" w:line="276" w:before="0" w:after="58"/>
        <w:jc w:val="start"/>
        <w:rPr/>
      </w:pPr>
      <w:r>
        <w:rPr/>
        <w:t>* The collector did not expose model-call counts, and no API-equivalent prices were applied; tool calls and token counts are in Appendix F.</w:t>
      </w:r>
    </w:p>
    <w:p>
      <w:pPr>
        <w:sectPr>
          <w:type w:val="nextPage"/>
          <w:pgSz w:orient="landscape" w:w="15840" w:h="12240"/>
          <w:pgMar w:left="1440" w:right="1440" w:gutter="0" w:header="0" w:top="1440" w:footer="0" w:bottom="1440"/>
          <w:pgNumType w:fmt="decimal"/>
          <w:formProt w:val="false"/>
          <w:textDirection w:val="lrTb"/>
          <w:docGrid w:type="default" w:linePitch="600" w:charSpace="32768"/>
        </w:sectPr>
        <w:pStyle w:val="Body"/>
        <w:bidi w:val="0"/>
        <w:spacing w:lineRule="auto" w:line="480"/>
        <w:ind w:firstLine="720"/>
        <w:jc w:val="start"/>
        <w:rPr/>
      </w:pPr>
      <w:r>
        <w:rPr/>
        <w:t>Table 1 reports one exploratory run per model on the standard job (V1), with the scripted reference for comparison. No run achieved full completion. GPT-6-Astra finished the job in 528 tool calls and lost three points: two for attempting to remove a timing-cover screw that was still held (CP02), and one for an extra head-bolt loosening pass (CP04). Its technician time was 17,594 seconds, of which 1,404 were penalties, against 13,630 seconds for the reference. GPT-6-Luna also finished, but its penalties (14,970 seconds) nearly equalled its productive time. It lost points for blocked removals, a missed cleaning step before the final gasket placement, and fasteners and connectors not refitted. GPT-6.1-Sol did not finish: after using its only replacement gasket and later removing it, it could not complete the repair and left the head, gasket and bolts off the engine. Under the current version of the independent scorer, the two scorers agree on every checkpoint and every time charge for all three runs. An earlier version differed by 30 seconds on GPT-6.1-Sol because it did not classify one gasket refit; this was corrected (Appendix F). With one run per model, these figures describe individual runs; they are not estimates of model performance.</w:t>
      </w:r>
    </w:p>
    <w:p>
      <w:pPr>
        <w:pStyle w:val="PortraitReturnHeading"/>
        <w:bidi w:val="0"/>
        <w:jc w:val="start"/>
        <w:rPr/>
      </w:pPr>
      <w:r>
        <w:rPr/>
        <w:t>7.1 Common failures</w:t>
      </w:r>
    </w:p>
    <w:p>
      <w:pPr>
        <w:pStyle w:val="GroupHeading"/>
        <w:keepNext w:val="true"/>
        <w:bidi w:val="0"/>
        <w:spacing w:before="173" w:after="0"/>
        <w:jc w:val="start"/>
        <w:rPr/>
      </w:pPr>
      <w:r>
        <w:rPr/>
        <w:t>(a) Repeated and excess work</w:t>
      </w:r>
    </w:p>
    <w:p>
      <w:pPr>
        <w:pStyle w:val="Body"/>
        <w:bidi w:val="0"/>
        <w:spacing w:lineRule="auto" w:line="480"/>
        <w:ind w:firstLine="720"/>
        <w:jc w:val="start"/>
        <w:rPr/>
      </w:pPr>
      <w:r>
        <w:rPr/>
        <w:t>Repeated work accounted for 213 operations and 10,350 penalty seconds for GPT-6.1-Sol, 15 operations and 630 seconds for GPT-6-Astra, and 191 operations and 9,840 seconds for GPT-6-Luna. Sol and Astra each loosened the ten head bolts in four passes instead of three. Their extra passes—Sol 220–229 and Astra 240–249—each added 420 seconds and lost CP04's one point. Luna removed the head and fitted the gasket again at 692–693; both operations were charged as repeated work.</w:t>
      </w:r>
    </w:p>
    <w:p>
      <w:pPr>
        <w:pStyle w:val="GroupHeading"/>
        <w:keepNext w:val="true"/>
        <w:bidi w:val="0"/>
        <w:spacing w:before="173" w:after="0"/>
        <w:jc w:val="start"/>
        <w:rPr/>
      </w:pPr>
      <w:r>
        <w:rPr/>
        <w:t>(b) Repeating refused requests without changing the repair</w:t>
      </w:r>
    </w:p>
    <w:p>
      <w:pPr>
        <w:pStyle w:val="Body"/>
        <w:bidi w:val="0"/>
        <w:spacing w:lineRule="auto" w:line="480"/>
        <w:ind w:firstLine="720"/>
        <w:jc w:val="start"/>
        <w:rPr/>
      </w:pPr>
      <w:r>
        <w:rPr/>
        <w:t>GPT-6-Luna made 40 consecutive restoration requests at 424–463, receiving the same refusal every time: "Restore attachments after all selected service positions are installed". The requests targeted different fasteners, but no parts were refitted between them to meet that requirement. This block cost 1,200 seconds. All 43 restoration refusals were included in Luna's 110 invalid actions, charged 4,890 seconds overall. The refusal named the unmet requirement but not the missing parts; the next environment version adds the requested item and the number of parts not yet refitted.</w:t>
      </w:r>
    </w:p>
    <w:p>
      <w:pPr>
        <w:pStyle w:val="GroupHeading"/>
        <w:keepNext w:val="true"/>
        <w:bidi w:val="0"/>
        <w:spacing w:before="173" w:after="0"/>
        <w:jc w:val="start"/>
        <w:rPr/>
      </w:pPr>
      <w:r>
        <w:rPr/>
        <w:t>(c) Parts and consumables</w:t>
      </w:r>
    </w:p>
    <w:p>
      <w:pPr>
        <w:pStyle w:val="Body"/>
        <w:bidi w:val="0"/>
        <w:spacing w:lineRule="auto" w:line="480"/>
        <w:ind w:firstLine="720"/>
        <w:jc w:val="start"/>
        <w:rPr/>
      </w:pPr>
      <w:r>
        <w:rPr/>
        <w:t>GPT-6.1-Sol discarded the old gasket at 276, then fitted its only new gasket at 327 by installing it directly from stock rather than through the replace action, which records a new part as the replacement for the original. Later replace requests at 438 and 661 both returned "Replacement supplies unavailable". The procedure does not refit a multi-layer steel gasket once removed, so removing it at 660 left Sol with no usable gasket.</w:t>
      </w:r>
    </w:p>
    <w:p>
      <w:pPr>
        <w:pStyle w:val="GroupHeading"/>
        <w:keepNext w:val="true"/>
        <w:bidi w:val="0"/>
        <w:spacing w:before="173" w:after="0"/>
        <w:jc w:val="start"/>
        <w:rPr/>
      </w:pPr>
      <w:r>
        <w:rPr/>
        <w:t>(d) Order-of-work requirements</w:t>
      </w:r>
    </w:p>
    <w:p>
      <w:pPr>
        <w:pStyle w:val="Body"/>
        <w:bidi w:val="0"/>
        <w:spacing w:lineRule="auto" w:line="480"/>
        <w:ind w:firstLine="720"/>
        <w:jc w:val="start"/>
        <w:rPr/>
      </w:pPr>
      <w:r>
        <w:rPr/>
        <w:t>GPT-6-Astra released a timing-cover screw at 112, then tried to remove it at 113 while the crank pulley was still in place, blocking the screw's withdrawal route. The refusal cost 30 seconds and CP02's two points. Sol's three blocked removals and Luna's seven similarly cost 90 and 210 seconds, with CP02 unmet in both runs. Separately, Luna removed the head at 692 and placed the final gasket at 693 without cleaning in between. Earlier cleaning at 355–358 did not meet this requirement; CP05 lost one point.</w:t>
      </w:r>
    </w:p>
    <w:p>
      <w:pPr>
        <w:pStyle w:val="GroupHeading"/>
        <w:keepNext w:val="true"/>
        <w:bidi w:val="0"/>
        <w:spacing w:before="173" w:after="0"/>
        <w:jc w:val="start"/>
        <w:rPr/>
      </w:pPr>
      <w:r>
        <w:rPr/>
        <w:t>(e) Finishing with work outstanding</w:t>
      </w:r>
    </w:p>
    <w:p>
      <w:pPr>
        <w:pStyle w:val="Body"/>
        <w:bidi w:val="0"/>
        <w:spacing w:lineRule="auto" w:line="480"/>
        <w:ind w:firstLine="720"/>
        <w:jc w:val="start"/>
        <w:rPr/>
      </w:pPr>
      <w:r>
        <w:rPr/>
        <w:t>GPT-6-Luna submitted finish at 807 with 100 fastener and connector restorations still outstanding. It failed the two-point final-reassembly check, CP12, and received a further 30-second missing-restoration charge. GPT-6.1-Sol never submitted finish: after 659–660, the head, gasket and all ten head bolts remained in the tray. Its final state failed the five two-point completion checks, CP08–CP12, despite earlier successful tightening at 339–358.</w:t>
      </w:r>
    </w:p>
    <w:p>
      <w:pPr>
        <w:pStyle w:val="Body"/>
        <w:bidi w:val="0"/>
        <w:spacing w:lineRule="auto" w:line="480"/>
        <w:ind w:firstLine="720"/>
        <w:jc w:val="start"/>
        <w:rPr/>
      </w:pPr>
      <w:r>
        <w:rPr/>
        <w:t>The final scores were 3/18 for GPT-6.1-Sol, 15/18 for GPT-6-Astra and 13/18 for GPT-6-Luna. Penalty totals were 12,012, 1,404 and 14,970 seconds respectively, agreed by the current version of both scorers. The earlier independent scorer recorded 11,952 penalty seconds for Sol (Appendix F). These examples show how repeated work, unmet prerequisites and incomplete reassembly accumulated costs even when individual repair operations succeeded.</w:t>
        <w:br/>
      </w:r>
    </w:p>
    <w:p>
      <w:pPr>
        <w:pStyle w:val="HeadingCenter"/>
        <w:keepNext w:val="true"/>
        <w:bidi w:val="0"/>
        <w:spacing w:lineRule="auto" w:line="480" w:before="216" w:after="0"/>
        <w:jc w:val="center"/>
        <w:rPr/>
      </w:pPr>
      <w:r>
        <w:rPr/>
        <w:t>8 Implications and future directions</w:t>
      </w:r>
    </w:p>
    <w:p>
      <w:pPr>
        <w:pStyle w:val="Body"/>
        <w:bidi w:val="0"/>
        <w:spacing w:lineRule="auto" w:line="480"/>
        <w:ind w:firstLine="720"/>
        <w:jc w:val="start"/>
        <w:rPr/>
      </w:pPr>
      <w:r>
        <w:rPr/>
        <w:t>A repair environment can test whether an agent uses information while maintaining a changing physical-state model. The application extends a professional-task benchmark pattern into mechanical procedure execution through software tools. Its value depends on accurate task constraints and evaluators, not on adding a new aggregate score. Engine Bench and this benchmark share one engine model and together cover building the engine and repairing it; both are published at https://toolsenabled.ai/bench/, with code at https://github.com/ToolsEnabled/engine-bench.</w:t>
      </w:r>
    </w:p>
    <w:p>
      <w:pPr>
        <w:pStyle w:val="Body"/>
        <w:bidi w:val="0"/>
        <w:spacing w:lineRule="auto" w:line="480"/>
        <w:ind w:firstLine="720"/>
        <w:jc w:val="start"/>
        <w:rPr/>
      </w:pPr>
      <w:r>
        <w:rPr/>
        <w:t>Future work should complete the service-to-geometry mapping, validate references under the amended rules, validate the technician-time estimates against published labour-time guides and extend the original-rule software checks to the selected collection runtime. Collected trajectories can then support analysis of procedural decisions and resource use. Broader tasks and physical execution require separate evidence.</w:t>
      </w:r>
    </w:p>
    <w:p>
      <w:pPr>
        <w:pStyle w:val="Body"/>
        <w:bidi w:val="0"/>
        <w:spacing w:lineRule="auto" w:line="480"/>
        <w:ind w:firstLine="720"/>
        <w:jc w:val="start"/>
        <w:rPr/>
      </w:pPr>
      <w:r>
        <w:rPr/>
        <w:t>The benchmark does not certify that an agent or robot can safely repair an engine. It omits the surrounding vehicle, workshop dexterity and many material uncertainties. ToolsEnabled, Inc. develops the environment and authors this report; this relationship should be considered when interpreting the design. The exploratory attempts do not establish comparative population performance.</w:t>
      </w:r>
    </w:p>
    <w:p>
      <w:pPr>
        <w:pStyle w:val="ReferencesHeading"/>
        <w:keepNext w:val="true"/>
        <w:bidi w:val="0"/>
        <w:spacing w:before="0" w:after="144"/>
        <w:jc w:val="start"/>
        <w:rPr/>
      </w:pPr>
      <w:r>
        <w:rPr/>
        <w:t>References</w:t>
      </w:r>
    </w:p>
    <w:p>
      <w:pPr>
        <w:pStyle w:val="SourceCitation"/>
        <w:keepLines/>
        <w:bidi w:val="0"/>
        <w:spacing w:lineRule="auto" w:line="276" w:before="0" w:after="58"/>
        <w:jc w:val="start"/>
        <w:rPr/>
      </w:pPr>
      <w:r>
        <w:rPr/>
        <w:t>[1] Xu, Frank F. et al.. TheAgentCompany: Benchmarking LLM Agents on Consequential Real World Tasks. 2025. arXiv v3. https://arxiv.org/abs/2412.14161v3</w:t>
      </w:r>
    </w:p>
    <w:p>
      <w:pPr>
        <w:pStyle w:val="SourceCitation"/>
        <w:keepLines/>
        <w:bidi w:val="0"/>
        <w:spacing w:lineRule="auto" w:line="276" w:before="0" w:after="58"/>
        <w:jc w:val="start"/>
        <w:rPr/>
      </w:pPr>
      <w:r>
        <w:rPr/>
        <w:t>[2] Wang, Ruoyao et al.. ScienceWorld: Is your Agent Smarter than a 5th Grader?. 2022. arXiv v2. https://arxiv.org/abs/2203.07540v2</w:t>
      </w:r>
    </w:p>
    <w:p>
      <w:pPr>
        <w:pStyle w:val="SourceCitation"/>
        <w:keepLines/>
        <w:bidi w:val="0"/>
        <w:spacing w:lineRule="auto" w:line="276" w:before="0" w:after="58"/>
        <w:jc w:val="start"/>
        <w:rPr/>
      </w:pPr>
      <w:r>
        <w:rPr/>
        <w:t>[3] Kapoor, Sayash et al.. AI Agents That Matter. 2024. arXiv v1. https://arxiv.org/abs/2407.01502v1</w:t>
      </w:r>
    </w:p>
    <w:p>
      <w:pPr>
        <w:pStyle w:val="SourceCitation"/>
        <w:keepLines/>
        <w:bidi w:val="0"/>
        <w:spacing w:lineRule="auto" w:line="276" w:before="0" w:after="58"/>
        <w:jc w:val="start"/>
        <w:rPr/>
      </w:pPr>
      <w:r>
        <w:rPr/>
        <w:t>[4] Yuxuan Zhu et al.. Establishing Best Practices for Building Rigorous Agentic Benchmarks. 2025. arXiv v5. https://arxiv.org/abs/2507.02825v5</w:t>
      </w:r>
    </w:p>
    <w:p>
      <w:pPr>
        <w:pStyle w:val="SourceCitation"/>
        <w:keepLines/>
        <w:bidi w:val="0"/>
        <w:spacing w:lineRule="auto" w:line="276" w:before="0" w:after="58"/>
        <w:jc w:val="start"/>
        <w:rPr/>
      </w:pPr>
      <w:r>
        <w:rPr/>
        <w:t>[5] Yunbei Zhang et al.. Stop Comparing LLM Agents Without Disclosing the Harness. 2026. arXiv v1. https://arxiv.org/abs/2605.23950v1</w:t>
      </w:r>
    </w:p>
    <w:p>
      <w:pPr>
        <w:pStyle w:val="SourceCitation"/>
        <w:keepLines/>
        <w:bidi w:val="0"/>
        <w:spacing w:lineRule="auto" w:line="276" w:before="0" w:after="58"/>
        <w:jc w:val="start"/>
        <w:rPr/>
      </w:pPr>
      <w:r>
        <w:rPr/>
        <w:t>[6] Yonghong Zhang et al.. The Double Measurement Confound in Agent Benchmarks: De-Scaffolding, Ground-Truth Scoring, and Reliability Beyond the Mean. 2026. arXiv v1. https://arxiv.org/abs/2609.09218v1</w:t>
      </w:r>
    </w:p>
    <w:p>
      <w:pPr>
        <w:pStyle w:val="SourceCitation"/>
        <w:keepLines/>
        <w:bidi w:val="0"/>
        <w:spacing w:lineRule="auto" w:line="276" w:before="0" w:after="58"/>
        <w:jc w:val="start"/>
        <w:rPr/>
      </w:pPr>
      <w:r>
        <w:rPr/>
        <w:t>[7] Wei-Jung Huang. How Many Tasks Are Enough for Agent Benchmark Decisions? A Replay Analysis of Public LLM Agent Benchmarks. 2026. arXiv v1. https://arxiv.org/abs/2607.12338</w:t>
      </w:r>
    </w:p>
    <w:p>
      <w:pPr>
        <w:pStyle w:val="SourceCitation"/>
        <w:keepLines/>
        <w:bidi w:val="0"/>
        <w:spacing w:lineRule="auto" w:line="276" w:before="0" w:after="58"/>
        <w:jc w:val="start"/>
        <w:rPr/>
      </w:pPr>
      <w:r>
        <w:rPr/>
        <w:t>[8] Zairah Mustahsan et al.. Stochasticity in Agentic Evaluations: Quantifying Inconsistency with Intraclass Correlation. 2025. arXiv v1. https://arxiv.org/abs/2512.06710</w:t>
      </w:r>
    </w:p>
    <w:p>
      <w:pPr>
        <w:pStyle w:val="SourceCitation"/>
        <w:keepLines/>
        <w:bidi w:val="0"/>
        <w:spacing w:lineRule="auto" w:line="276" w:before="0" w:after="58"/>
        <w:jc w:val="start"/>
        <w:rPr/>
      </w:pPr>
      <w:r>
        <w:rPr/>
        <w:t>[9] Evan Miller. Adding Error Bars to Evals: A Statistical Approach to Language Model Evaluations. 2024. arXiv v1. https://arxiv.org/abs/2411.00640</w:t>
      </w:r>
    </w:p>
    <w:p>
      <w:pPr>
        <w:pStyle w:val="SourceCitation"/>
        <w:keepLines/>
        <w:bidi w:val="0"/>
        <w:spacing w:lineRule="auto" w:line="276" w:before="0" w:after="58"/>
        <w:jc w:val="start"/>
        <w:rPr/>
      </w:pPr>
      <w:r>
        <w:rPr/>
        <w:t>[10] Ke Zhang et al.. Understanding Tool-Augmented Agents for Lean Formalization: A Factorial Analysis. 2026. arXiv v1. https://arxiv.org/abs/2604.16538</w:t>
      </w:r>
    </w:p>
    <w:p>
      <w:pPr>
        <w:pStyle w:val="SourceCitation"/>
        <w:keepLines/>
        <w:bidi w:val="0"/>
        <w:spacing w:lineRule="auto" w:line="276" w:before="0" w:after="58"/>
        <w:jc w:val="start"/>
        <w:rPr/>
      </w:pPr>
      <w:r>
        <w:rPr/>
        <w:t>[11] Yadi Cao et al.. SimulCost: A Cost-Aware Benchmark and Toolkit for Automating Physics Simulations with LLMs. 2026. arXiv v4. https://arxiv.org/abs/2603.20253v4</w:t>
      </w:r>
    </w:p>
    <w:p>
      <w:pPr>
        <w:pStyle w:val="SourceCitation"/>
        <w:keepLines/>
        <w:bidi w:val="0"/>
        <w:spacing w:lineRule="auto" w:line="276" w:before="0" w:after="58"/>
        <w:jc w:val="start"/>
        <w:rPr/>
      </w:pPr>
      <w:r>
        <w:rPr/>
        <w:t>[12] Chenmu Zhang et al.. CompMat-Bench: Benchmarking AI Agents for Computational Materials Science. 2026. arXiv v1. https://arxiv.org/abs/2610.00636v1</w:t>
      </w:r>
    </w:p>
    <w:p>
      <w:pPr>
        <w:pStyle w:val="SourceCitation"/>
        <w:keepLines/>
        <w:bidi w:val="0"/>
        <w:spacing w:lineRule="auto" w:line="276" w:before="0" w:after="58"/>
        <w:jc w:val="start"/>
        <w:rPr/>
      </w:pPr>
      <w:r>
        <w:rPr/>
        <w:t>[13] Hainiu Xu et al.. ReFract: Benchmarking Perspective Awareness in Language Model Agents with Text World Models. 2026. arXiv v1. https://arxiv.org/abs/2610.03356v1</w:t>
      </w:r>
    </w:p>
    <w:p>
      <w:pPr>
        <w:pStyle w:val="SourceCitation"/>
        <w:keepLines/>
        <w:bidi w:val="0"/>
        <w:spacing w:lineRule="auto" w:line="276" w:before="0" w:after="58"/>
        <w:jc w:val="start"/>
        <w:rPr/>
      </w:pPr>
      <w:r>
        <w:rPr/>
        <w:t>[14] Lev Sorokin et al.. DeepTest Tool Competition 2026: Benchmarking an LLM-Based Automotive Assistant. 2026. arXiv v1. https://arxiv.org/abs/2604.12615v1</w:t>
      </w:r>
    </w:p>
    <w:p>
      <w:pPr>
        <w:pStyle w:val="SourceCitation"/>
        <w:keepLines/>
        <w:bidi w:val="0"/>
        <w:spacing w:lineRule="auto" w:line="276" w:before="0" w:after="58"/>
        <w:jc w:val="start"/>
        <w:rPr/>
      </w:pPr>
      <w:r>
        <w:rPr/>
        <w:t>[15] St. Paul Foundry. 356.0 Aluminum Silicon Magnesium Technical Data Sheet. n.d.. https://www.stpaulfoundry.com/AlloySpecs/alloy_specifications_data_page.aspx?id=356.0</w:t>
      </w:r>
    </w:p>
    <w:p>
      <w:pPr>
        <w:pStyle w:val="SourceCitation"/>
        <w:keepLines/>
        <w:bidi w:val="0"/>
        <w:spacing w:lineRule="auto" w:line="276" w:before="0" w:after="58"/>
        <w:jc w:val="start"/>
        <w:rPr/>
      </w:pPr>
      <w:r>
        <w:rPr/>
        <w:t>[16] Raúl Radovitzky. Computational Mechanics of Materials: Variational Formulation and Rayleigh-Ritz Methods. 2003. https://ocw.mit.edu/courses/16-225-computational-mechanics-of-materials-fall-2003/resources/lesson__13/</w:t>
      </w:r>
    </w:p>
    <w:p>
      <w:pPr>
        <w:sectPr>
          <w:type w:val="nextPage"/>
          <w:pgSz w:w="12240" w:h="15840"/>
          <w:pgMar w:left="1440" w:right="1440" w:gutter="0" w:header="0" w:top="1440" w:footer="0" w:bottom="1440"/>
          <w:pgNumType w:fmt="decimal"/>
          <w:formProt w:val="false"/>
          <w:textDirection w:val="lrTb"/>
          <w:docGrid w:type="default" w:linePitch="600" w:charSpace="32768"/>
        </w:sectPr>
        <w:pStyle w:val="SourceCitation"/>
        <w:keepLines/>
        <w:bidi w:val="0"/>
        <w:spacing w:lineRule="auto" w:line="276" w:before="0" w:after="58"/>
        <w:jc w:val="start"/>
        <w:rPr/>
      </w:pPr>
      <w:r>
        <w:rPr/>
        <w:t>[17] Richard T. Barrett. Fastener Design Manual. 1990. https://ntrs.nasa.gov/api/citations/19900009424/downloads/19900009424.pdf</w:t>
      </w:r>
    </w:p>
    <w:p>
      <w:pPr>
        <w:pStyle w:val="LandscapeFigureHeading"/>
        <w:bidi w:val="0"/>
        <w:jc w:val="start"/>
        <w:rPr/>
      </w:pPr>
      <w:r>
        <w:rPr/>
        <w:t>Appendix A. Benchmark comparison</w:t>
      </w:r>
    </w:p>
    <w:p>
      <w:pPr>
        <w:pStyle w:val="SourceCitation"/>
        <w:keepLines/>
        <w:bidi w:val="0"/>
        <w:spacing w:lineRule="auto" w:line="276" w:before="0" w:after="58"/>
        <w:jc w:val="start"/>
        <w:rPr/>
      </w:pPr>
      <w:r>
        <w:rPr/>
        <w:t>Selected task environments and evaluation targets. This descriptive comparison adapts the benchmark-comparison organization of TheAgentCompany to a narrower repair application; it is not a reproduction of its feature table or a ranking [1].</w:t>
      </w:r>
    </w:p>
    <w:p>
      <w:pPr>
        <w:pStyle w:val="TableCaption"/>
        <w:keepNext w:val="true"/>
        <w:bidi w:val="0"/>
        <w:jc w:val="start"/>
        <w:rPr/>
      </w:pPr>
      <w:r>
        <w:rPr/>
        <w:t>Table 2. Appendix A. Benchmark comparison</w:t>
      </w:r>
    </w:p>
    <w:tbl>
      <w:tblPr>
        <w:tblW w:w="12960" w:type="dxa"/>
        <w:jc w:val="start"/>
        <w:tblInd w:w="0" w:type="dxa"/>
        <w:tblLayout w:type="fixed"/>
        <w:tblCellMar>
          <w:top w:w="58" w:type="dxa"/>
          <w:start w:w="58" w:type="dxa"/>
          <w:bottom w:w="58" w:type="dxa"/>
          <w:end w:w="58" w:type="dxa"/>
        </w:tblCellMar>
      </w:tblPr>
      <w:tblGrid>
        <w:gridCol w:w="2160"/>
        <w:gridCol w:w="3600"/>
        <w:gridCol w:w="3600"/>
        <w:gridCol w:w="3600"/>
      </w:tblGrid>
      <w:tr>
        <w:trPr/>
        <w:tc>
          <w:tcPr>
            <w:tcW w:w="2160" w:type="dxa"/>
            <w:tcBorders>
              <w:bottom w:val="single" w:sz="2" w:space="0" w:color="CCCCCC"/>
            </w:tcBorders>
          </w:tcPr>
          <w:p>
            <w:pPr>
              <w:pStyle w:val="ComparisonTableText"/>
              <w:bidi w:val="0"/>
              <w:spacing w:lineRule="auto" w:line="252" w:before="0" w:after="43"/>
              <w:jc w:val="start"/>
              <w:rPr/>
            </w:pPr>
            <w:r>
              <w:rPr>
                <w:rStyle w:val="Tb"/>
              </w:rPr>
              <w:t>Benchmark</w:t>
            </w:r>
          </w:p>
        </w:tc>
        <w:tc>
          <w:tcPr>
            <w:tcW w:w="3600" w:type="dxa"/>
            <w:tcBorders>
              <w:bottom w:val="single" w:sz="2" w:space="0" w:color="CCCCCC"/>
            </w:tcBorders>
          </w:tcPr>
          <w:p>
            <w:pPr>
              <w:pStyle w:val="ComparisonTableText"/>
              <w:bidi w:val="0"/>
              <w:spacing w:lineRule="auto" w:line="252" w:before="0" w:after="43"/>
              <w:jc w:val="start"/>
              <w:rPr/>
            </w:pPr>
            <w:r>
              <w:rPr>
                <w:rStyle w:val="Tb"/>
              </w:rPr>
              <w:t>Task and interaction</w:t>
            </w:r>
          </w:p>
        </w:tc>
        <w:tc>
          <w:tcPr>
            <w:tcW w:w="3600" w:type="dxa"/>
            <w:tcBorders>
              <w:bottom w:val="single" w:sz="2" w:space="0" w:color="CCCCCC"/>
            </w:tcBorders>
          </w:tcPr>
          <w:p>
            <w:pPr>
              <w:pStyle w:val="ComparisonTableText"/>
              <w:bidi w:val="0"/>
              <w:spacing w:lineRule="auto" w:line="252" w:before="0" w:after="43"/>
              <w:jc w:val="start"/>
              <w:rPr/>
            </w:pPr>
            <w:r>
              <w:rPr>
                <w:rStyle w:val="Tb"/>
              </w:rPr>
              <w:t>Evaluation target</w:t>
            </w:r>
          </w:p>
        </w:tc>
        <w:tc>
          <w:tcPr>
            <w:tcW w:w="3600" w:type="dxa"/>
            <w:tcBorders>
              <w:bottom w:val="single" w:sz="2" w:space="0" w:color="CCCCCC"/>
            </w:tcBorders>
          </w:tcPr>
          <w:p>
            <w:pPr>
              <w:pStyle w:val="ComparisonTableText"/>
              <w:bidi w:val="0"/>
              <w:spacing w:lineRule="auto" w:line="252" w:before="0" w:after="43"/>
              <w:jc w:val="start"/>
              <w:rPr/>
            </w:pPr>
            <w:r>
              <w:rPr>
                <w:rStyle w:val="Tb"/>
              </w:rPr>
              <w:t>Distinction for this application</w:t>
            </w:r>
          </w:p>
        </w:tc>
      </w:tr>
      <w:tr>
        <w:trPr/>
        <w:tc>
          <w:tcPr>
            <w:tcW w:w="2160" w:type="dxa"/>
            <w:tcBorders>
              <w:bottom w:val="single" w:sz="2" w:space="0" w:color="CCCCCC"/>
            </w:tcBorders>
          </w:tcPr>
          <w:p>
            <w:pPr>
              <w:pStyle w:val="ComparisonTableText"/>
              <w:bidi w:val="0"/>
              <w:spacing w:lineRule="auto" w:line="252" w:before="0" w:after="43"/>
              <w:jc w:val="start"/>
              <w:rPr/>
            </w:pPr>
            <w:r>
              <w:rPr/>
              <w:t>TheAgentCompany</w:t>
            </w:r>
          </w:p>
        </w:tc>
        <w:tc>
          <w:tcPr>
            <w:tcW w:w="3600" w:type="dxa"/>
            <w:tcBorders>
              <w:bottom w:val="single" w:sz="2" w:space="0" w:color="CCCCCC"/>
            </w:tcBorders>
          </w:tcPr>
          <w:p>
            <w:pPr>
              <w:pStyle w:val="ComparisonTableText"/>
              <w:bidi w:val="0"/>
              <w:spacing w:lineRule="auto" w:line="252" w:before="0" w:after="43"/>
              <w:jc w:val="start"/>
              <w:rPr/>
            </w:pPr>
            <w:r>
              <w:rPr/>
              <w:t>Professional tasks across workplace tools, with simulated colleague conversations</w:t>
            </w:r>
          </w:p>
        </w:tc>
        <w:tc>
          <w:tcPr>
            <w:tcW w:w="3600" w:type="dxa"/>
            <w:tcBorders>
              <w:bottom w:val="single" w:sz="2" w:space="0" w:color="CCCCCC"/>
            </w:tcBorders>
          </w:tcPr>
          <w:p>
            <w:pPr>
              <w:pStyle w:val="ComparisonTableText"/>
              <w:bidi w:val="0"/>
              <w:spacing w:lineRule="auto" w:line="252" w:before="0" w:after="43"/>
              <w:jc w:val="start"/>
              <w:rPr/>
            </w:pPr>
            <w:r>
              <w:rPr/>
              <w:t>Full completion and weighted intermediate checkpoints; evaluators include programmatic checks and language-model judgments</w:t>
            </w:r>
          </w:p>
        </w:tc>
        <w:tc>
          <w:tcPr>
            <w:tcW w:w="3600" w:type="dxa"/>
            <w:tcBorders>
              <w:bottom w:val="single" w:sz="2" w:space="0" w:color="CCCCCC"/>
            </w:tcBorders>
          </w:tcPr>
          <w:p>
            <w:pPr>
              <w:pStyle w:val="ComparisonTableText"/>
              <w:bidi w:val="0"/>
              <w:spacing w:lineRule="auto" w:line="252" w:before="0" w:after="43"/>
              <w:jc w:val="start"/>
              <w:rPr/>
            </w:pPr>
            <w:r>
              <w:rPr/>
              <w:t>Provides the reporting structure; colleague interaction differs from repair-tool interaction</w:t>
            </w:r>
          </w:p>
        </w:tc>
      </w:tr>
      <w:tr>
        <w:trPr/>
        <w:tc>
          <w:tcPr>
            <w:tcW w:w="2160" w:type="dxa"/>
            <w:tcBorders>
              <w:bottom w:val="single" w:sz="2" w:space="0" w:color="CCCCCC"/>
            </w:tcBorders>
          </w:tcPr>
          <w:p>
            <w:pPr>
              <w:pStyle w:val="ComparisonTableText"/>
              <w:bidi w:val="0"/>
              <w:spacing w:lineRule="auto" w:line="252" w:before="0" w:after="43"/>
              <w:jc w:val="start"/>
              <w:rPr/>
            </w:pPr>
            <w:r>
              <w:rPr/>
              <w:t>ScienceWorld</w:t>
            </w:r>
          </w:p>
        </w:tc>
        <w:tc>
          <w:tcPr>
            <w:tcW w:w="3600" w:type="dxa"/>
            <w:tcBorders>
              <w:bottom w:val="single" w:sz="2" w:space="0" w:color="CCCCCC"/>
            </w:tcBorders>
          </w:tcPr>
          <w:p>
            <w:pPr>
              <w:pStyle w:val="ComparisonTableText"/>
              <w:bidi w:val="0"/>
              <w:spacing w:lineRule="auto" w:line="252" w:before="0" w:after="43"/>
              <w:jc w:val="start"/>
              <w:rPr/>
            </w:pPr>
            <w:r>
              <w:rPr/>
              <w:t>Elementary science procedures in a text simulation</w:t>
            </w:r>
          </w:p>
        </w:tc>
        <w:tc>
          <w:tcPr>
            <w:tcW w:w="3600" w:type="dxa"/>
            <w:tcBorders>
              <w:bottom w:val="single" w:sz="2" w:space="0" w:color="CCCCCC"/>
            </w:tcBorders>
          </w:tcPr>
          <w:p>
            <w:pPr>
              <w:pStyle w:val="ComparisonTableText"/>
              <w:bidi w:val="0"/>
              <w:spacing w:lineRule="auto" w:line="252" w:before="0" w:after="43"/>
              <w:jc w:val="start"/>
              <w:rPr/>
            </w:pPr>
            <w:r>
              <w:rPr/>
              <w:t>Required goals and optional progress subgoals, with task variations</w:t>
            </w:r>
          </w:p>
        </w:tc>
        <w:tc>
          <w:tcPr>
            <w:tcW w:w="3600" w:type="dxa"/>
            <w:tcBorders>
              <w:bottom w:val="single" w:sz="2" w:space="0" w:color="CCCCCC"/>
            </w:tcBorders>
          </w:tcPr>
          <w:p>
            <w:pPr>
              <w:pStyle w:val="ComparisonTableText"/>
              <w:bidi w:val="0"/>
              <w:spacing w:lineRule="auto" w:line="252" w:before="0" w:after="43"/>
              <w:jc w:val="start"/>
              <w:rPr/>
            </w:pPr>
            <w:r>
              <w:rPr/>
              <w:t>Connects knowledge to state-changing actions; spatial and physical models are deliberately simplified</w:t>
            </w:r>
          </w:p>
        </w:tc>
      </w:tr>
      <w:tr>
        <w:trPr/>
        <w:tc>
          <w:tcPr>
            <w:tcW w:w="2160" w:type="dxa"/>
            <w:tcBorders>
              <w:bottom w:val="single" w:sz="2" w:space="0" w:color="CCCCCC"/>
            </w:tcBorders>
          </w:tcPr>
          <w:p>
            <w:pPr>
              <w:pStyle w:val="ComparisonTableText"/>
              <w:bidi w:val="0"/>
              <w:spacing w:lineRule="auto" w:line="252" w:before="0" w:after="43"/>
              <w:jc w:val="start"/>
              <w:rPr/>
            </w:pPr>
            <w:r>
              <w:rPr/>
              <w:t>SimulCost</w:t>
            </w:r>
          </w:p>
        </w:tc>
        <w:tc>
          <w:tcPr>
            <w:tcW w:w="3600" w:type="dxa"/>
            <w:tcBorders>
              <w:bottom w:val="single" w:sz="2" w:space="0" w:color="CCCCCC"/>
            </w:tcBorders>
          </w:tcPr>
          <w:p>
            <w:pPr>
              <w:pStyle w:val="ComparisonTableText"/>
              <w:bidi w:val="0"/>
              <w:spacing w:lineRule="auto" w:line="252" w:before="0" w:after="43"/>
              <w:jc w:val="start"/>
              <w:rPr/>
            </w:pPr>
            <w:r>
              <w:rPr/>
              <w:t>Parameter selection and iterative tuning through physics solvers</w:t>
            </w:r>
          </w:p>
        </w:tc>
        <w:tc>
          <w:tcPr>
            <w:tcW w:w="3600" w:type="dxa"/>
            <w:tcBorders>
              <w:bottom w:val="single" w:sz="2" w:space="0" w:color="CCCCCC"/>
            </w:tcBorders>
          </w:tcPr>
          <w:p>
            <w:pPr>
              <w:pStyle w:val="ComparisonTableText"/>
              <w:bidi w:val="0"/>
              <w:spacing w:lineRule="auto" w:line="252" w:before="0" w:after="43"/>
              <w:jc w:val="start"/>
              <w:rPr/>
            </w:pPr>
            <w:r>
              <w:rPr/>
              <w:t>Accuracy thresholds and simulation cost relative to a scan reference</w:t>
            </w:r>
          </w:p>
        </w:tc>
        <w:tc>
          <w:tcPr>
            <w:tcW w:w="3600" w:type="dxa"/>
            <w:tcBorders>
              <w:bottom w:val="single" w:sz="2" w:space="0" w:color="CCCCCC"/>
            </w:tcBorders>
          </w:tcPr>
          <w:p>
            <w:pPr>
              <w:pStyle w:val="ComparisonTableText"/>
              <w:bidi w:val="0"/>
              <w:spacing w:lineRule="auto" w:line="252" w:before="0" w:after="43"/>
              <w:jc w:val="start"/>
              <w:rPr/>
            </w:pPr>
            <w:r>
              <w:rPr/>
              <w:t>Separates tool computation cost from inference cost; technician time is a different application quantity</w:t>
            </w:r>
          </w:p>
        </w:tc>
      </w:tr>
      <w:tr>
        <w:trPr/>
        <w:tc>
          <w:tcPr>
            <w:tcW w:w="2160" w:type="dxa"/>
            <w:tcBorders>
              <w:bottom w:val="single" w:sz="2" w:space="0" w:color="CCCCCC"/>
            </w:tcBorders>
          </w:tcPr>
          <w:p>
            <w:pPr>
              <w:pStyle w:val="ComparisonTableText"/>
              <w:bidi w:val="0"/>
              <w:spacing w:lineRule="auto" w:line="252" w:before="0" w:after="43"/>
              <w:jc w:val="start"/>
              <w:rPr/>
            </w:pPr>
            <w:r>
              <w:rPr/>
              <w:t>CompMat-Bench</w:t>
            </w:r>
          </w:p>
        </w:tc>
        <w:tc>
          <w:tcPr>
            <w:tcW w:w="3600" w:type="dxa"/>
            <w:tcBorders>
              <w:bottom w:val="single" w:sz="2" w:space="0" w:color="CCCCCC"/>
            </w:tcBorders>
          </w:tcPr>
          <w:p>
            <w:pPr>
              <w:pStyle w:val="ComparisonTableText"/>
              <w:bidi w:val="0"/>
              <w:spacing w:lineRule="auto" w:line="252" w:before="0" w:after="43"/>
              <w:jc w:val="start"/>
              <w:rPr/>
            </w:pPr>
            <w:r>
              <w:rPr/>
              <w:t>Materials-research input preparation, output analysis and calculation workflows</w:t>
            </w:r>
          </w:p>
        </w:tc>
        <w:tc>
          <w:tcPr>
            <w:tcW w:w="3600" w:type="dxa"/>
            <w:tcBorders>
              <w:bottom w:val="single" w:sz="2" w:space="0" w:color="CCCCCC"/>
            </w:tcBorders>
          </w:tcPr>
          <w:p>
            <w:pPr>
              <w:pStyle w:val="ComparisonTableText"/>
              <w:bidi w:val="0"/>
              <w:spacing w:lineRule="auto" w:line="252" w:before="0" w:after="43"/>
              <w:jc w:val="start"/>
              <w:rPr/>
            </w:pPr>
            <w:r>
              <w:rPr/>
              <w:t>Fixed checks against reproduced research results; single tasks use precomputed expensive simulations</w:t>
            </w:r>
          </w:p>
        </w:tc>
        <w:tc>
          <w:tcPr>
            <w:tcW w:w="3600" w:type="dxa"/>
            <w:tcBorders>
              <w:bottom w:val="single" w:sz="2" w:space="0" w:color="CCCCCC"/>
            </w:tcBorders>
          </w:tcPr>
          <w:p>
            <w:pPr>
              <w:pStyle w:val="ComparisonTableText"/>
              <w:bidi w:val="0"/>
              <w:spacing w:lineRule="auto" w:line="252" w:before="0" w:after="43"/>
              <w:jc w:val="start"/>
              <w:rPr/>
            </w:pPr>
            <w:r>
              <w:rPr/>
              <w:t>Workflow agents also run calculations; the target is research reproduction rather than equipment repair</w:t>
            </w:r>
          </w:p>
        </w:tc>
      </w:tr>
      <w:tr>
        <w:trPr/>
        <w:tc>
          <w:tcPr>
            <w:tcW w:w="2160" w:type="dxa"/>
            <w:tcBorders>
              <w:bottom w:val="single" w:sz="2" w:space="0" w:color="CCCCCC"/>
            </w:tcBorders>
          </w:tcPr>
          <w:p>
            <w:pPr>
              <w:pStyle w:val="ComparisonTableText"/>
              <w:bidi w:val="0"/>
              <w:spacing w:lineRule="auto" w:line="252" w:before="0" w:after="43"/>
              <w:jc w:val="start"/>
              <w:rPr/>
            </w:pPr>
            <w:r>
              <w:rPr/>
              <w:t>ReFract</w:t>
            </w:r>
          </w:p>
        </w:tc>
        <w:tc>
          <w:tcPr>
            <w:tcW w:w="3600" w:type="dxa"/>
            <w:tcBorders>
              <w:bottom w:val="single" w:sz="2" w:space="0" w:color="CCCCCC"/>
            </w:tcBorders>
          </w:tcPr>
          <w:p>
            <w:pPr>
              <w:pStyle w:val="ComparisonTableText"/>
              <w:bidi w:val="0"/>
              <w:spacing w:lineRule="auto" w:line="252" w:before="0" w:after="43"/>
              <w:jc w:val="start"/>
              <w:rPr/>
            </w:pPr>
            <w:r>
              <w:rPr/>
              <w:t>Role-conditioned action trajectories in executable text world models</w:t>
            </w:r>
          </w:p>
        </w:tc>
        <w:tc>
          <w:tcPr>
            <w:tcW w:w="3600" w:type="dxa"/>
            <w:tcBorders>
              <w:bottom w:val="single" w:sz="2" w:space="0" w:color="CCCCCC"/>
            </w:tcBorders>
          </w:tcPr>
          <w:p>
            <w:pPr>
              <w:pStyle w:val="ComparisonTableText"/>
              <w:bidi w:val="0"/>
              <w:spacing w:lineRule="auto" w:line="252" w:before="0" w:after="43"/>
              <w:jc w:val="start"/>
              <w:rPr/>
            </w:pPr>
            <w:r>
              <w:rPr/>
              <w:t>Goal attainment, role-boundary compliance and call efficiency</w:t>
            </w:r>
          </w:p>
        </w:tc>
        <w:tc>
          <w:tcPr>
            <w:tcW w:w="3600" w:type="dxa"/>
            <w:tcBorders>
              <w:bottom w:val="single" w:sz="2" w:space="0" w:color="CCCCCC"/>
            </w:tcBorders>
          </w:tcPr>
          <w:p>
            <w:pPr>
              <w:pStyle w:val="ComparisonTableText"/>
              <w:bidi w:val="0"/>
              <w:spacing w:lineRule="auto" w:line="252" w:before="0" w:after="43"/>
              <w:jc w:val="start"/>
              <w:rPr/>
            </w:pPr>
            <w:r>
              <w:rPr/>
              <w:t>Tests declared capability and knowledge boundaries in a closed simulation; it does not establish physical equipment consequences</w:t>
            </w:r>
          </w:p>
        </w:tc>
      </w:tr>
      <w:tr>
        <w:trPr/>
        <w:tc>
          <w:tcPr>
            <w:tcW w:w="2160" w:type="dxa"/>
            <w:tcBorders>
              <w:bottom w:val="single" w:sz="2" w:space="0" w:color="CCCCCC"/>
            </w:tcBorders>
          </w:tcPr>
          <w:p>
            <w:pPr>
              <w:pStyle w:val="ComparisonTableText"/>
              <w:bidi w:val="0"/>
              <w:spacing w:lineRule="auto" w:line="252" w:before="0" w:after="43"/>
              <w:jc w:val="start"/>
              <w:rPr/>
            </w:pPr>
            <w:r>
              <w:rPr/>
              <w:t>DeepTest</w:t>
            </w:r>
          </w:p>
        </w:tc>
        <w:tc>
          <w:tcPr>
            <w:tcW w:w="3600" w:type="dxa"/>
            <w:tcBorders>
              <w:bottom w:val="single" w:sz="2" w:space="0" w:color="CCCCCC"/>
            </w:tcBorders>
          </w:tcPr>
          <w:p>
            <w:pPr>
              <w:pStyle w:val="ComparisonTableText"/>
              <w:bidi w:val="0"/>
              <w:spacing w:lineRule="auto" w:line="252" w:before="0" w:after="43"/>
              <w:jc w:val="start"/>
              <w:rPr/>
            </w:pPr>
            <w:r>
              <w:rPr/>
              <w:t>Generated requests to automotive manual-retrieval assistants</w:t>
            </w:r>
          </w:p>
        </w:tc>
        <w:tc>
          <w:tcPr>
            <w:tcW w:w="3600" w:type="dxa"/>
            <w:tcBorders>
              <w:bottom w:val="single" w:sz="2" w:space="0" w:color="CCCCCC"/>
            </w:tcBorders>
          </w:tcPr>
          <w:p>
            <w:pPr>
              <w:pStyle w:val="ComparisonTableText"/>
              <w:bidi w:val="0"/>
              <w:spacing w:lineRule="auto" w:line="252" w:before="0" w:after="43"/>
              <w:jc w:val="start"/>
              <w:rPr/>
            </w:pPr>
            <w:r>
              <w:rPr/>
              <w:t>Warning omissions, failure-revealing test coverage and an LLM-based oracle</w:t>
            </w:r>
          </w:p>
        </w:tc>
        <w:tc>
          <w:tcPr>
            <w:tcW w:w="3600" w:type="dxa"/>
            <w:tcBorders>
              <w:bottom w:val="single" w:sz="2" w:space="0" w:color="CCCCCC"/>
            </w:tcBorders>
          </w:tcPr>
          <w:p>
            <w:pPr>
              <w:pStyle w:val="ComparisonTableText"/>
              <w:bidi w:val="0"/>
              <w:spacing w:lineRule="auto" w:line="252" w:before="0" w:after="43"/>
              <w:jc w:val="start"/>
              <w:rPr/>
            </w:pPr>
            <w:r>
              <w:rPr/>
              <w:t>Evaluates testing tools and information reliability rather than executed repair procedures</w:t>
            </w:r>
          </w:p>
        </w:tc>
      </w:tr>
      <w:tr>
        <w:trPr/>
        <w:tc>
          <w:tcPr>
            <w:tcW w:w="2160" w:type="dxa"/>
            <w:tcBorders>
              <w:bottom w:val="single" w:sz="2" w:space="0" w:color="CCCCCC"/>
            </w:tcBorders>
          </w:tcPr>
          <w:p>
            <w:pPr>
              <w:pStyle w:val="ComparisonTableText"/>
              <w:bidi w:val="0"/>
              <w:spacing w:lineRule="auto" w:line="252" w:before="0" w:after="43"/>
              <w:jc w:val="start"/>
              <w:rPr/>
            </w:pPr>
            <w:r>
              <w:rPr/>
              <w:t>Proposed repair application</w:t>
            </w:r>
          </w:p>
        </w:tc>
        <w:tc>
          <w:tcPr>
            <w:tcW w:w="3600" w:type="dxa"/>
            <w:tcBorders>
              <w:bottom w:val="single" w:sz="2" w:space="0" w:color="CCCCCC"/>
            </w:tcBorders>
          </w:tcPr>
          <w:p>
            <w:pPr>
              <w:pStyle w:val="ComparisonTableText"/>
              <w:bidi w:val="0"/>
              <w:spacing w:lineRule="auto" w:line="252" w:before="0" w:after="43"/>
              <w:jc w:val="start"/>
              <w:rPr/>
            </w:pPr>
            <w:r>
              <w:rPr/>
              <w:t>Component inspection, part selection and ordered service actions through an environment interface</w:t>
            </w:r>
          </w:p>
        </w:tc>
        <w:tc>
          <w:tcPr>
            <w:tcW w:w="3600" w:type="dxa"/>
            <w:tcBorders>
              <w:bottom w:val="single" w:sz="2" w:space="0" w:color="CCCCCC"/>
            </w:tcBorders>
          </w:tcPr>
          <w:p>
            <w:pPr>
              <w:pStyle w:val="ComparisonTableText"/>
              <w:bidi w:val="0"/>
              <w:spacing w:lineRule="auto" w:line="252" w:before="0" w:after="43"/>
              <w:jc w:val="start"/>
              <w:rPr/>
            </w:pPr>
            <w:r>
              <w:rPr/>
              <w:t>Binary weighted checkpoints, full completion, inference cost and charged technician time</w:t>
            </w:r>
          </w:p>
        </w:tc>
        <w:tc>
          <w:tcPr>
            <w:tcW w:w="3600" w:type="dxa"/>
            <w:tcBorders>
              <w:bottom w:val="single" w:sz="2" w:space="0" w:color="CCCCCC"/>
            </w:tcBorders>
          </w:tcPr>
          <w:p>
            <w:pPr>
              <w:pStyle w:val="ComparisonTableText"/>
              <w:bidi w:val="0"/>
              <w:spacing w:lineRule="auto" w:line="252" w:before="0" w:after="43"/>
              <w:jc w:val="start"/>
              <w:rPr/>
            </w:pPr>
            <w:r>
              <w:rPr/>
              <w:t>Application design with unresolved service and evaluator details; comparative model results are pending</w:t>
            </w:r>
          </w:p>
        </w:tc>
      </w:tr>
    </w:tbl>
    <w:p>
      <w:pPr>
        <w:sectPr>
          <w:type w:val="nextPage"/>
          <w:pgSz w:orient="landscape" w:w="15840" w:h="12240"/>
          <w:pgMar w:left="1440" w:right="1440" w:gutter="0" w:header="0" w:top="1440" w:footer="0" w:bottom="1440"/>
          <w:pgNumType w:fmt="decimal"/>
          <w:formProt w:val="false"/>
          <w:textDirection w:val="lrTb"/>
          <w:docGrid w:type="default" w:linePitch="600" w:charSpace="32768"/>
        </w:sectPr>
        <w:pStyle w:val="SourceCitation"/>
        <w:keepLines/>
        <w:bidi w:val="0"/>
        <w:spacing w:lineRule="auto" w:line="276" w:before="0" w:after="58"/>
        <w:jc w:val="start"/>
        <w:rPr/>
      </w:pPr>
      <w:r>
        <w:rPr/>
        <w:t>Sources: [1] [2] [11] [12] [13] [14]. Selected scopes do not imply equal difficulty. Colleague conversation, physical-model computation and repair-tool actions are distinct interactions.</w:t>
      </w:r>
    </w:p>
    <w:p>
      <w:pPr>
        <w:pStyle w:val="PortraitReturnHeading"/>
        <w:bidi w:val="0"/>
        <w:jc w:val="start"/>
        <w:rPr/>
      </w:pPr>
      <w:r>
        <w:rPr/>
        <w:t>Appendix B. Environment and engine model</w:t>
      </w:r>
    </w:p>
    <w:p>
      <w:pPr>
        <w:pStyle w:val="Plain"/>
        <w:bidi w:val="0"/>
        <w:spacing w:lineRule="exact" w:line="365"/>
        <w:jc w:val="start"/>
        <w:rPr/>
      </w:pPr>
      <w:r>
        <w:rPr/>
        <w:t>The service-body index contains 1240 selected body rows. Individual bodies remain distinct, including hardware candidates and contextual geometry. The mapping provides a basis for task-specific access checks; it is not proof of a complete legal disassembly route.</w:t>
      </w:r>
    </w:p>
    <w:p>
      <w:pPr>
        <w:pStyle w:val="TableCaption"/>
        <w:keepNext w:val="true"/>
        <w:bidi w:val="0"/>
        <w:jc w:val="start"/>
        <w:rPr/>
      </w:pPr>
      <w:r>
        <w:rPr/>
        <w:t>Table 3. Appendix B. Environment and engine model</w:t>
      </w:r>
    </w:p>
    <w:tbl>
      <w:tblPr>
        <w:tblW w:w="9360" w:type="dxa"/>
        <w:jc w:val="start"/>
        <w:tblInd w:w="0" w:type="dxa"/>
        <w:tblLayout w:type="fixed"/>
        <w:tblCellMar>
          <w:top w:w="58" w:type="dxa"/>
          <w:start w:w="58" w:type="dxa"/>
          <w:bottom w:w="58" w:type="dxa"/>
          <w:end w:w="58" w:type="dxa"/>
        </w:tblCellMar>
      </w:tblPr>
      <w:tblGrid>
        <w:gridCol w:w="2160"/>
        <w:gridCol w:w="7200"/>
      </w:tblGrid>
      <w:tr>
        <w:trPr/>
        <w:tc>
          <w:tcPr>
            <w:tcW w:w="2160" w:type="dxa"/>
            <w:tcBorders>
              <w:bottom w:val="single" w:sz="2" w:space="0" w:color="CCCCCC"/>
            </w:tcBorders>
          </w:tcPr>
          <w:p>
            <w:pPr>
              <w:pStyle w:val="Plain"/>
              <w:bidi w:val="0"/>
              <w:spacing w:lineRule="exact" w:line="365"/>
              <w:jc w:val="start"/>
              <w:rPr/>
            </w:pPr>
            <w:r>
              <w:rPr>
                <w:rStyle w:val="Tb"/>
              </w:rPr>
              <w:t>Tool group</w:t>
            </w:r>
          </w:p>
        </w:tc>
        <w:tc>
          <w:tcPr>
            <w:tcW w:w="7200" w:type="dxa"/>
            <w:tcBorders>
              <w:bottom w:val="single" w:sz="2" w:space="0" w:color="CCCCCC"/>
            </w:tcBorders>
          </w:tcPr>
          <w:p>
            <w:pPr>
              <w:pStyle w:val="Plain"/>
              <w:bidi w:val="0"/>
              <w:spacing w:lineRule="exact" w:line="365"/>
              <w:jc w:val="start"/>
              <w:rPr/>
            </w:pPr>
            <w:r>
              <w:rPr>
                <w:rStyle w:val="Tb"/>
              </w:rPr>
              <w:t>Role in the repair</w:t>
            </w:r>
          </w:p>
        </w:tc>
      </w:tr>
      <w:tr>
        <w:trPr/>
        <w:tc>
          <w:tcPr>
            <w:tcW w:w="2160" w:type="dxa"/>
            <w:tcBorders>
              <w:bottom w:val="single" w:sz="2" w:space="0" w:color="CCCCCC"/>
            </w:tcBorders>
          </w:tcPr>
          <w:p>
            <w:pPr>
              <w:pStyle w:val="Plain"/>
              <w:bidi w:val="0"/>
              <w:spacing w:lineRule="exact" w:line="365"/>
              <w:jc w:val="start"/>
              <w:rPr/>
            </w:pPr>
            <w:r>
              <w:rPr/>
              <w:t>look / inspect / measure</w:t>
            </w:r>
          </w:p>
        </w:tc>
        <w:tc>
          <w:tcPr>
            <w:tcW w:w="7200" w:type="dxa"/>
            <w:tcBorders>
              <w:bottom w:val="single" w:sz="2" w:space="0" w:color="CCCCCC"/>
            </w:tcBorders>
          </w:tcPr>
          <w:p>
            <w:pPr>
              <w:pStyle w:val="Plain"/>
              <w:bidi w:val="0"/>
              <w:spacing w:lineRule="exact" w:line="365"/>
              <w:jc w:val="start"/>
              <w:rPr/>
            </w:pPr>
            <w:r>
              <w:rPr/>
              <w:t>Expose visible state and permitted component measurements.</w:t>
            </w:r>
          </w:p>
        </w:tc>
      </w:tr>
      <w:tr>
        <w:trPr/>
        <w:tc>
          <w:tcPr>
            <w:tcW w:w="2160" w:type="dxa"/>
            <w:tcBorders>
              <w:bottom w:val="single" w:sz="2" w:space="0" w:color="CCCCCC"/>
            </w:tcBorders>
          </w:tcPr>
          <w:p>
            <w:pPr>
              <w:pStyle w:val="Plain"/>
              <w:bidi w:val="0"/>
              <w:spacing w:lineRule="exact" w:line="365"/>
              <w:jc w:val="start"/>
              <w:rPr/>
            </w:pPr>
            <w:r>
              <w:rPr/>
              <w:t>search_service_info</w:t>
            </w:r>
          </w:p>
        </w:tc>
        <w:tc>
          <w:tcPr>
            <w:tcW w:w="7200" w:type="dxa"/>
            <w:tcBorders>
              <w:bottom w:val="single" w:sz="2" w:space="0" w:color="CCCCCC"/>
            </w:tcBorders>
          </w:tcPr>
          <w:p>
            <w:pPr>
              <w:pStyle w:val="Plain"/>
              <w:bidi w:val="0"/>
              <w:spacing w:lineRule="exact" w:line="365"/>
              <w:jc w:val="start"/>
              <w:rPr/>
            </w:pPr>
            <w:r>
              <w:rPr/>
              <w:t>Retrieve specifications from the task corpus.</w:t>
            </w:r>
          </w:p>
        </w:tc>
      </w:tr>
      <w:tr>
        <w:trPr/>
        <w:tc>
          <w:tcPr>
            <w:tcW w:w="2160" w:type="dxa"/>
            <w:tcBorders>
              <w:bottom w:val="single" w:sz="2" w:space="0" w:color="CCCCCC"/>
            </w:tcBorders>
          </w:tcPr>
          <w:p>
            <w:pPr>
              <w:pStyle w:val="Plain"/>
              <w:bidi w:val="0"/>
              <w:spacing w:lineRule="exact" w:line="365"/>
              <w:jc w:val="start"/>
              <w:rPr/>
            </w:pPr>
            <w:r>
              <w:rPr/>
              <w:t>remove / install</w:t>
            </w:r>
          </w:p>
        </w:tc>
        <w:tc>
          <w:tcPr>
            <w:tcW w:w="7200" w:type="dxa"/>
            <w:tcBorders>
              <w:bottom w:val="single" w:sz="2" w:space="0" w:color="CCCCCC"/>
            </w:tcBorders>
          </w:tcPr>
          <w:p>
            <w:pPr>
              <w:pStyle w:val="Plain"/>
              <w:bidi w:val="0"/>
              <w:spacing w:lineRule="exact" w:line="365"/>
              <w:jc w:val="start"/>
              <w:rPr/>
            </w:pPr>
            <w:r>
              <w:rPr/>
              <w:t>Change component placement under access and dependency constraints.</w:t>
            </w:r>
          </w:p>
        </w:tc>
      </w:tr>
      <w:tr>
        <w:trPr/>
        <w:tc>
          <w:tcPr>
            <w:tcW w:w="2160" w:type="dxa"/>
            <w:tcBorders>
              <w:bottom w:val="single" w:sz="2" w:space="0" w:color="CCCCCC"/>
            </w:tcBorders>
          </w:tcPr>
          <w:p>
            <w:pPr>
              <w:pStyle w:val="Plain"/>
              <w:bidi w:val="0"/>
              <w:spacing w:lineRule="exact" w:line="365"/>
              <w:jc w:val="start"/>
              <w:rPr/>
            </w:pPr>
            <w:r>
              <w:rPr/>
              <w:t>clean / replace</w:t>
            </w:r>
          </w:p>
        </w:tc>
        <w:tc>
          <w:tcPr>
            <w:tcW w:w="7200" w:type="dxa"/>
            <w:tcBorders>
              <w:bottom w:val="single" w:sz="2" w:space="0" w:color="CCCCCC"/>
            </w:tcBorders>
          </w:tcPr>
          <w:p>
            <w:pPr>
              <w:pStyle w:val="Plain"/>
              <w:bidi w:val="0"/>
              <w:spacing w:lineRule="exact" w:line="365"/>
              <w:jc w:val="start"/>
              <w:rPr/>
            </w:pPr>
            <w:r>
              <w:rPr/>
              <w:t>Change preparation state or exchange an identified component.</w:t>
            </w:r>
          </w:p>
        </w:tc>
      </w:tr>
      <w:tr>
        <w:trPr/>
        <w:tc>
          <w:tcPr>
            <w:tcW w:w="2160" w:type="dxa"/>
            <w:tcBorders>
              <w:bottom w:val="single" w:sz="2" w:space="0" w:color="CCCCCC"/>
            </w:tcBorders>
          </w:tcPr>
          <w:p>
            <w:pPr>
              <w:pStyle w:val="Plain"/>
              <w:bidi w:val="0"/>
              <w:spacing w:lineRule="exact" w:line="365"/>
              <w:jc w:val="start"/>
              <w:rPr/>
            </w:pPr>
            <w:r>
              <w:rPr/>
              <w:t>torque / check_timing</w:t>
            </w:r>
          </w:p>
        </w:tc>
        <w:tc>
          <w:tcPr>
            <w:tcW w:w="7200" w:type="dxa"/>
            <w:tcBorders>
              <w:bottom w:val="single" w:sz="2" w:space="0" w:color="CCCCCC"/>
            </w:tcBorders>
          </w:tcPr>
          <w:p>
            <w:pPr>
              <w:pStyle w:val="Plain"/>
              <w:bidi w:val="0"/>
              <w:spacing w:lineRule="exact" w:line="365"/>
              <w:jc w:val="start"/>
              <w:rPr/>
            </w:pPr>
            <w:r>
              <w:rPr/>
              <w:t>Record ordered tightening and timing checks.</w:t>
            </w:r>
          </w:p>
        </w:tc>
      </w:tr>
      <w:tr>
        <w:trPr/>
        <w:tc>
          <w:tcPr>
            <w:tcW w:w="2160" w:type="dxa"/>
            <w:tcBorders>
              <w:bottom w:val="single" w:sz="2" w:space="0" w:color="CCCCCC"/>
            </w:tcBorders>
          </w:tcPr>
          <w:p>
            <w:pPr>
              <w:pStyle w:val="Plain"/>
              <w:bidi w:val="0"/>
              <w:spacing w:lineRule="exact" w:line="365"/>
              <w:jc w:val="start"/>
              <w:rPr/>
            </w:pPr>
            <w:r>
              <w:rPr/>
              <w:t>finish</w:t>
            </w:r>
          </w:p>
        </w:tc>
        <w:tc>
          <w:tcPr>
            <w:tcW w:w="7200" w:type="dxa"/>
            <w:tcBorders>
              <w:bottom w:val="single" w:sz="2" w:space="0" w:color="CCCCCC"/>
            </w:tcBorders>
          </w:tcPr>
          <w:p>
            <w:pPr>
              <w:pStyle w:val="Plain"/>
              <w:bidi w:val="0"/>
              <w:spacing w:lineRule="exact" w:line="365"/>
              <w:jc w:val="start"/>
              <w:rPr/>
            </w:pPr>
            <w:r>
              <w:rPr/>
              <w:t>Submit the final state; revised evaluator integration remains to be demonstrated.</w:t>
            </w:r>
          </w:p>
        </w:tc>
      </w:tr>
    </w:tbl>
    <w:p>
      <w:pPr>
        <w:pStyle w:val="Plain"/>
        <w:bidi w:val="0"/>
        <w:spacing w:lineRule="exact" w:line="365"/>
        <w:jc w:val="start"/>
        <w:rPr/>
      </w:pPr>
      <w:r>
        <w:rPr/>
        <w:t>The inherited interface includes a historical operating-harness endpoint. Its action signatures can support the revised design, but its previous finish behavior is not evidence of the new checkpoint evaluator.</w:t>
      </w:r>
    </w:p>
    <w:p>
      <w:pPr>
        <w:pStyle w:val="Plain"/>
        <w:bidi w:val="0"/>
        <w:spacing w:lineRule="exact" w:line="365"/>
        <w:jc w:val="start"/>
        <w:rPr/>
      </w:pPr>
      <w:r>
        <w:rPr/>
        <w:t>The service corpus distinguishes published service information, private source references, benchmark procedure choices and estimates. Selected torque transcriptions differ, reuse limits are incomplete, and gasket orientation and dowel fit need explicit support. Those gaps must be resolved or declared before a task can claim a determinate correct answer.</w:t>
      </w:r>
    </w:p>
    <w:p>
      <w:pPr>
        <w:pStyle w:val="Plain"/>
        <w:bidi w:val="0"/>
        <w:spacing w:lineRule="exact" w:line="365"/>
        <w:jc w:val="start"/>
        <w:rPr/>
      </w:pPr>
      <w:r>
        <w:rPr/>
        <w:t>The environment exposes component observations and state-changing actions through an interface. Existing software demonstrations support component identity and selected action behavior. The engine display supplies geometric context, while the mechanical models make finite, assumption-dependent predictions. A complete display does not establish a usable service path, and a model response does not validate the service procedure. Material history, unloaded flatness and loaded deformation must be distinguished when defining measurements.</w:t>
      </w:r>
    </w:p>
    <w:p>
      <w:pPr>
        <w:pStyle w:val="SectionHeading"/>
        <w:keepNext w:val="true"/>
        <w:bidi w:val="0"/>
        <w:spacing w:before="288" w:after="144"/>
        <w:jc w:val="start"/>
        <w:rPr/>
      </w:pPr>
      <w:r>
        <w:rPr/>
        <w:t>Appendix B. Benchmark construction</w:t>
      </w:r>
    </w:p>
    <w:p>
      <w:pPr>
        <w:pStyle w:val="Plain"/>
        <w:bidi w:val="0"/>
        <w:spacing w:lineRule="exact" w:line="365"/>
        <w:jc w:val="start"/>
        <w:rPr/>
      </w:pPr>
      <w:r>
        <w:rPr/>
        <w:t>Construction links the service procedure to observable component state and permitted actions. The following review stages separate task feasibility from evaluator behavior; none substitutes for a completed reference run.</w:t>
      </w:r>
    </w:p>
    <w:p>
      <w:pPr>
        <w:pStyle w:val="TableCaption"/>
        <w:keepNext w:val="true"/>
        <w:bidi w:val="0"/>
        <w:jc w:val="start"/>
        <w:rPr/>
      </w:pPr>
      <w:r>
        <w:rPr/>
        <w:t>Table 4. Appendix B. Benchmark construction</w:t>
      </w:r>
    </w:p>
    <w:tbl>
      <w:tblPr>
        <w:tblW w:w="9360" w:type="dxa"/>
        <w:jc w:val="start"/>
        <w:tblInd w:w="0" w:type="dxa"/>
        <w:tblLayout w:type="fixed"/>
        <w:tblCellMar>
          <w:top w:w="58" w:type="dxa"/>
          <w:start w:w="58" w:type="dxa"/>
          <w:bottom w:w="58" w:type="dxa"/>
          <w:end w:w="58" w:type="dxa"/>
        </w:tblCellMar>
      </w:tblPr>
      <w:tblGrid>
        <w:gridCol w:w="2160"/>
        <w:gridCol w:w="7200"/>
      </w:tblGrid>
      <w:tr>
        <w:trPr/>
        <w:tc>
          <w:tcPr>
            <w:tcW w:w="2160" w:type="dxa"/>
            <w:tcBorders>
              <w:bottom w:val="single" w:sz="2" w:space="0" w:color="CCCCCC"/>
            </w:tcBorders>
          </w:tcPr>
          <w:p>
            <w:pPr>
              <w:pStyle w:val="Plain"/>
              <w:bidi w:val="0"/>
              <w:spacing w:lineRule="exact" w:line="365"/>
              <w:jc w:val="start"/>
              <w:rPr/>
            </w:pPr>
            <w:r>
              <w:rPr>
                <w:rStyle w:val="Tb"/>
              </w:rPr>
              <w:t>Construction stage</w:t>
            </w:r>
          </w:p>
        </w:tc>
        <w:tc>
          <w:tcPr>
            <w:tcW w:w="7200" w:type="dxa"/>
            <w:tcBorders>
              <w:bottom w:val="single" w:sz="2" w:space="0" w:color="CCCCCC"/>
            </w:tcBorders>
          </w:tcPr>
          <w:p>
            <w:pPr>
              <w:pStyle w:val="Plain"/>
              <w:bidi w:val="0"/>
              <w:spacing w:lineRule="exact" w:line="365"/>
              <w:jc w:val="start"/>
              <w:rPr/>
            </w:pPr>
            <w:r>
              <w:rPr>
                <w:rStyle w:val="Tb"/>
              </w:rPr>
              <w:t>Evidence and review target</w:t>
            </w:r>
          </w:p>
        </w:tc>
      </w:tr>
      <w:tr>
        <w:trPr/>
        <w:tc>
          <w:tcPr>
            <w:tcW w:w="2160" w:type="dxa"/>
            <w:tcBorders>
              <w:bottom w:val="single" w:sz="2" w:space="0" w:color="CCCCCC"/>
            </w:tcBorders>
          </w:tcPr>
          <w:p>
            <w:pPr>
              <w:pStyle w:val="Plain"/>
              <w:bidi w:val="0"/>
              <w:spacing w:lineRule="exact" w:line="365"/>
              <w:jc w:val="start"/>
              <w:rPr/>
            </w:pPr>
            <w:r>
              <w:rPr/>
              <w:t>Define the job</w:t>
            </w:r>
          </w:p>
        </w:tc>
        <w:tc>
          <w:tcPr>
            <w:tcW w:w="7200" w:type="dxa"/>
            <w:tcBorders>
              <w:bottom w:val="single" w:sz="2" w:space="0" w:color="CCCCCC"/>
            </w:tcBorders>
          </w:tcPr>
          <w:p>
            <w:pPr>
              <w:pStyle w:val="Plain"/>
              <w:bidi w:val="0"/>
              <w:spacing w:lineRule="exact" w:line="365"/>
              <w:jc w:val="start"/>
              <w:rPr/>
            </w:pPr>
            <w:r>
              <w:rPr/>
              <w:t>Starting component conditions, supplied tools and parts, visible information, terminal state and legitimate waste dispositions.</w:t>
            </w:r>
          </w:p>
        </w:tc>
      </w:tr>
      <w:tr>
        <w:trPr/>
        <w:tc>
          <w:tcPr>
            <w:tcW w:w="2160" w:type="dxa"/>
            <w:tcBorders>
              <w:bottom w:val="single" w:sz="2" w:space="0" w:color="CCCCCC"/>
            </w:tcBorders>
          </w:tcPr>
          <w:p>
            <w:pPr>
              <w:pStyle w:val="Plain"/>
              <w:bidi w:val="0"/>
              <w:spacing w:lineRule="exact" w:line="365"/>
              <w:jc w:val="start"/>
              <w:rPr/>
            </w:pPr>
            <w:r>
              <w:rPr/>
              <w:t>Map service information</w:t>
            </w:r>
          </w:p>
        </w:tc>
        <w:tc>
          <w:tcPr>
            <w:tcW w:w="7200" w:type="dxa"/>
            <w:tcBorders>
              <w:bottom w:val="single" w:sz="2" w:space="0" w:color="CCCCCC"/>
            </w:tcBorders>
          </w:tcPr>
          <w:p>
            <w:pPr>
              <w:pStyle w:val="Plain"/>
              <w:bidi w:val="0"/>
              <w:spacing w:lineRule="exact" w:line="365"/>
              <w:jc w:val="start"/>
              <w:rPr/>
            </w:pPr>
            <w:r>
              <w:rPr/>
              <w:t>Applicable specifications, measurement units, tightening stages and sequence, reuse and replacement decisions; unresolved limits remain explicit.</w:t>
            </w:r>
          </w:p>
        </w:tc>
      </w:tr>
      <w:tr>
        <w:trPr/>
        <w:tc>
          <w:tcPr>
            <w:tcW w:w="2160" w:type="dxa"/>
            <w:tcBorders>
              <w:bottom w:val="single" w:sz="2" w:space="0" w:color="CCCCCC"/>
            </w:tcBorders>
          </w:tcPr>
          <w:p>
            <w:pPr>
              <w:pStyle w:val="Plain"/>
              <w:bidi w:val="0"/>
              <w:spacing w:lineRule="exact" w:line="365"/>
              <w:jc w:val="start"/>
              <w:rPr/>
            </w:pPr>
            <w:r>
              <w:rPr/>
              <w:t>Map components and actions</w:t>
            </w:r>
          </w:p>
        </w:tc>
        <w:tc>
          <w:tcPr>
            <w:tcW w:w="7200" w:type="dxa"/>
            <w:tcBorders>
              <w:bottom w:val="single" w:sz="2" w:space="0" w:color="CCCCCC"/>
            </w:tcBorders>
          </w:tcPr>
          <w:p>
            <w:pPr>
              <w:pStyle w:val="Plain"/>
              <w:bidi w:val="0"/>
              <w:spacing w:lineRule="exact" w:line="365"/>
              <w:jc w:val="start"/>
              <w:rPr/>
            </w:pPr>
            <w:r>
              <w:rPr/>
              <w:t>Stable body and fastener identities, access dependencies, state changes, refused actions and observations available to the agent.</w:t>
            </w:r>
          </w:p>
        </w:tc>
      </w:tr>
      <w:tr>
        <w:trPr/>
        <w:tc>
          <w:tcPr>
            <w:tcW w:w="2160" w:type="dxa"/>
            <w:tcBorders>
              <w:bottom w:val="single" w:sz="2" w:space="0" w:color="CCCCCC"/>
            </w:tcBorders>
          </w:tcPr>
          <w:p>
            <w:pPr>
              <w:pStyle w:val="Plain"/>
              <w:bidi w:val="0"/>
              <w:spacing w:lineRule="exact" w:line="365"/>
              <w:jc w:val="start"/>
              <w:rPr/>
            </w:pPr>
            <w:r>
              <w:rPr/>
              <w:t>Curate checkpoint evidence</w:t>
            </w:r>
          </w:p>
        </w:tc>
        <w:tc>
          <w:tcPr>
            <w:tcW w:w="7200" w:type="dxa"/>
            <w:tcBorders>
              <w:bottom w:val="single" w:sz="2" w:space="0" w:color="CCCCCC"/>
            </w:tcBorders>
          </w:tcPr>
          <w:p>
            <w:pPr>
              <w:pStyle w:val="Plain"/>
              <w:bidi w:val="0"/>
              <w:spacing w:lineRule="exact" w:line="365"/>
              <w:jc w:val="start"/>
              <w:rPr/>
            </w:pPr>
            <w:r>
              <w:rPr/>
              <w:t>Final-state and history predicates, weights, unavailable evidence, correction rules and failure explanations.</w:t>
            </w:r>
          </w:p>
        </w:tc>
      </w:tr>
      <w:tr>
        <w:trPr/>
        <w:tc>
          <w:tcPr>
            <w:tcW w:w="2160" w:type="dxa"/>
            <w:tcBorders>
              <w:bottom w:val="single" w:sz="2" w:space="0" w:color="CCCCCC"/>
            </w:tcBorders>
          </w:tcPr>
          <w:p>
            <w:pPr>
              <w:pStyle w:val="Plain"/>
              <w:bidi w:val="0"/>
              <w:spacing w:lineRule="exact" w:line="365"/>
              <w:jc w:val="start"/>
              <w:rPr/>
            </w:pPr>
            <w:r>
              <w:rPr/>
              <w:t>Exercise reference and faulty jobs</w:t>
            </w:r>
          </w:p>
        </w:tc>
        <w:tc>
          <w:tcPr>
            <w:tcW w:w="7200" w:type="dxa"/>
            <w:tcBorders>
              <w:bottom w:val="single" w:sz="2" w:space="0" w:color="CCCCCC"/>
            </w:tcBorders>
          </w:tcPr>
          <w:p>
            <w:pPr>
              <w:pStyle w:val="Plain"/>
              <w:bidi w:val="0"/>
              <w:spacing w:lineRule="exact" w:line="365"/>
              <w:jc w:val="start"/>
              <w:rPr/>
            </w:pPr>
            <w:r>
              <w:rPr/>
              <w:t>Feasible correct execution plus controlled departures that test evaluator sensitivity; keep software diagnostics distinct from model performance.</w:t>
            </w:r>
          </w:p>
        </w:tc>
      </w:tr>
      <w:tr>
        <w:trPr/>
        <w:tc>
          <w:tcPr>
            <w:tcW w:w="2160" w:type="dxa"/>
            <w:tcBorders>
              <w:bottom w:val="single" w:sz="2" w:space="0" w:color="CCCCCC"/>
            </w:tcBorders>
          </w:tcPr>
          <w:p>
            <w:pPr>
              <w:pStyle w:val="Plain"/>
              <w:bidi w:val="0"/>
              <w:spacing w:lineRule="exact" w:line="365"/>
              <w:jc w:val="start"/>
              <w:rPr/>
            </w:pPr>
            <w:r>
              <w:rPr/>
              <w:t>Freeze collection configuration</w:t>
            </w:r>
          </w:p>
        </w:tc>
        <w:tc>
          <w:tcPr>
            <w:tcW w:w="7200" w:type="dxa"/>
            <w:tcBorders>
              <w:bottom w:val="single" w:sz="2" w:space="0" w:color="CCCCCC"/>
            </w:tcBorders>
          </w:tcPr>
          <w:p>
            <w:pPr>
              <w:pStyle w:val="Plain"/>
              <w:bidi w:val="0"/>
              <w:spacing w:lineRule="exact" w:line="365"/>
              <w:jc w:val="start"/>
              <w:rPr/>
            </w:pPr>
            <w:r>
              <w:rPr/>
              <w:t>Task, service corpus, geometry, evaluator, agent harness, budgets, telemetry and charge schedule fixed before comparative collection.</w:t>
            </w:r>
          </w:p>
        </w:tc>
      </w:tr>
    </w:tbl>
    <w:p>
      <w:pPr>
        <w:pStyle w:val="Plain"/>
        <w:bidi w:val="0"/>
        <w:spacing w:lineRule="exact" w:line="365"/>
        <w:jc w:val="start"/>
        <w:rPr/>
      </w:pPr>
      <w:r>
        <w:rPr/>
        <w:t>Reviewers should inspect a complete example from instruction through final report. Changing a service threshold, active component identity or evaluator condition changes the task definition and requires a new reviewed configuration. Historical software tests remain tied to the versions they exercised.</w:t>
      </w:r>
    </w:p>
    <w:p>
      <w:pPr>
        <w:pStyle w:val="Plain"/>
        <w:bidi w:val="0"/>
        <w:spacing w:lineRule="exact" w:line="365"/>
        <w:jc w:val="start"/>
        <w:rPr/>
      </w:pPr>
      <w:r>
        <w:rPr/>
        <w:t>The factory-style path lifts a mapped rocker assembly of 109 bodies with 15 bolts retained in that group. It requires 14 releases of head threads and 16 adjuster backoffs; the camshaft remains installed and needs independent support. A full-strip path remains a valid alternate. Group retention, support and unobstructed withdrawal retain provisional geometric qualifications.</w:t>
      </w:r>
    </w:p>
    <w:p>
      <w:pPr>
        <w:pStyle w:val="Plain"/>
        <w:bidi w:val="0"/>
        <w:spacing w:lineRule="exact" w:line="365"/>
        <w:jc w:val="start"/>
        <w:rPr/>
      </w:pPr>
      <w:r>
        <w:rPr/>
        <w:t>For the default fixture, the grouped route has 162 removal operations and 51 moving groups, compared with 185 operations and 71 groups for the full-strip route. Both restore 626 removed positions and retain 614 bodies. Alternative stay choices carry their own checklists. These are removal-fixture counts, not complete repair action counts or technician seconds; neither path is physical service validation.</w:t>
      </w:r>
    </w:p>
    <w:p>
      <w:pPr>
        <w:pStyle w:val="SectionHeading"/>
        <w:keepNext w:val="true"/>
        <w:bidi w:val="0"/>
        <w:spacing w:before="288" w:after="144"/>
        <w:jc w:val="start"/>
        <w:rPr/>
      </w:pPr>
      <w:r>
        <w:rPr/>
        <w:t>Appendix B. Engine geometry</w:t>
      </w:r>
    </w:p>
    <w:p>
      <w:pPr>
        <w:pStyle w:val="FigureParagraph"/>
        <w:keepNext w:val="true"/>
        <w:bidi w:val="0"/>
        <w:spacing w:lineRule="auto" w:line="240"/>
        <w:jc w:val="center"/>
        <w:rPr/>
      </w:pPr>
      <w:r>
        <w:rPr/>
        <w:drawing>
          <wp:inline distT="0" distB="0" distL="0" distR="0">
            <wp:extent cx="5669280" cy="4535170"/>
            <wp:effectExtent l="0" t="0" r="0" b="0"/>
            <wp:docPr id="2" name="SealedRender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ealedRender2" descr="" title=""/>
                    <pic:cNvPicPr>
                      <a:picLocks noChangeAspect="1" noChangeArrowheads="1"/>
                    </pic:cNvPicPr>
                  </pic:nvPicPr>
                  <pic:blipFill>
                    <a:blip r:embed="rId3"/>
                    <a:stretch>
                      <a:fillRect/>
                    </a:stretch>
                  </pic:blipFill>
                  <pic:spPr bwMode="auto">
                    <a:xfrm>
                      <a:off x="0" y="0"/>
                      <a:ext cx="5669280" cy="4535170"/>
                    </a:xfrm>
                    <a:prstGeom prst="rect">
                      <a:avLst/>
                    </a:prstGeom>
                  </pic:spPr>
                </pic:pic>
              </a:graphicData>
            </a:graphic>
          </wp:inline>
        </w:drawing>
      </w:r>
    </w:p>
    <w:p>
      <w:pPr>
        <w:pStyle w:val="Plain"/>
        <w:bidi w:val="0"/>
        <w:spacing w:lineRule="exact" w:line="365"/>
        <w:jc w:val="start"/>
        <w:rPr/>
      </w:pPr>
      <w:r>
        <w:rPr/>
        <w:t>Figure 2. Lubrication component representation. Separate bodies and their context are preserved. This view does not establish an unobstructed service path. In the source render the vertical-axis label overlaps one tick label; the illustration is reproduced without alteration.</w:t>
      </w:r>
    </w:p>
    <w:p>
      <w:pPr>
        <w:pStyle w:val="FigureParagraph"/>
        <w:keepNext w:val="true"/>
        <w:bidi w:val="0"/>
        <w:spacing w:lineRule="auto" w:line="240"/>
        <w:jc w:val="center"/>
        <w:rPr/>
      </w:pPr>
      <w:r>
        <w:rPr/>
        <w:drawing>
          <wp:inline distT="0" distB="0" distL="0" distR="0">
            <wp:extent cx="4480560" cy="4269740"/>
            <wp:effectExtent l="0" t="0" r="0" b="0"/>
            <wp:docPr id="3" name="SealedRender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ealedRender3" descr="" title=""/>
                    <pic:cNvPicPr>
                      <a:picLocks noChangeAspect="1" noChangeArrowheads="1"/>
                    </pic:cNvPicPr>
                  </pic:nvPicPr>
                  <pic:blipFill>
                    <a:blip r:embed="rId4"/>
                    <a:stretch>
                      <a:fillRect/>
                    </a:stretch>
                  </pic:blipFill>
                  <pic:spPr bwMode="auto">
                    <a:xfrm>
                      <a:off x="0" y="0"/>
                      <a:ext cx="4480560" cy="4269740"/>
                    </a:xfrm>
                    <a:prstGeom prst="rect">
                      <a:avLst/>
                    </a:prstGeom>
                  </pic:spPr>
                </pic:pic>
              </a:graphicData>
            </a:graphic>
          </wp:inline>
        </w:drawing>
      </w:r>
    </w:p>
    <w:p>
      <w:pPr>
        <w:pStyle w:val="Plain"/>
        <w:bidi w:val="0"/>
        <w:spacing w:lineRule="exact" w:line="365"/>
        <w:jc w:val="start"/>
        <w:rPr/>
      </w:pPr>
      <w:r>
        <w:rPr/>
        <w:t>Figure 3. Integrated engine display. The original component geometry is shown without changing its body identities. Display completeness does not resolve all access and intersection questions.</w:t>
      </w:r>
    </w:p>
    <w:p>
      <w:pPr>
        <w:pStyle w:val="SectionHeading"/>
        <w:keepNext w:val="true"/>
        <w:bidi w:val="0"/>
        <w:spacing w:before="288" w:after="144"/>
        <w:jc w:val="start"/>
        <w:rPr/>
      </w:pPr>
      <w:r>
        <w:rPr/>
        <w:t>Appendix B. Mechanical assumptions</w:t>
      </w:r>
    </w:p>
    <w:p>
      <w:pPr>
        <w:pStyle w:val="Plain"/>
        <w:bidi w:val="0"/>
        <w:spacing w:lineRule="exact" w:line="365"/>
        <w:jc w:val="start"/>
        <w:rPr/>
      </w:pPr>
      <w:r>
        <w:rPr/>
        <w:t>The mechanical model links bolt loading, gasket compression and head response. The historical rigid model and later elastic plate approximation have different scopes. A linear elastic mechanical plate with a yield exclusion must not be described as a model of permanent head deformation.</w:t>
      </w:r>
    </w:p>
    <w:p>
      <w:pPr>
        <w:pStyle w:val="Plain"/>
        <w:bidi w:val="0"/>
        <w:spacing w:lineRule="exact" w:line="365"/>
        <w:jc w:val="start"/>
        <w:rPr/>
      </w:pPr>
      <w:r>
        <w:rPr/>
        <w:t>Separate generic material-law work carries gasket recovery, bolt stretch and sectional material history. Its parameters and applicability are not selected-part validation. Finite order comparisons show that an action history can affect transient component response; they do not establish lasting damage, reliable repair classification or engine durability.</w:t>
      </w:r>
    </w:p>
    <w:p>
      <w:pPr>
        <w:sectPr>
          <w:type w:val="nextPage"/>
          <w:pgSz w:w="12240" w:h="15840"/>
          <w:pgMar w:left="1440" w:right="1440" w:gutter="0" w:header="0" w:top="1440" w:footer="0" w:bottom="1440"/>
          <w:pgNumType w:fmt="decimal"/>
          <w:formProt w:val="false"/>
          <w:textDirection w:val="lrTb"/>
          <w:docGrid w:type="default" w:linePitch="600" w:charSpace="32768"/>
        </w:sectPr>
        <w:pStyle w:val="Plain"/>
        <w:bidi w:val="0"/>
        <w:spacing w:lineRule="exact" w:line="365"/>
        <w:jc w:val="start"/>
        <w:rPr/>
      </w:pPr>
      <w:r>
        <w:rPr/>
        <w:t>Material proxies, contact reduction and finite comparison limits remain explicit. Mechanical state is used to make inspection and measurement meaningful. Checkpoint correctness is determined by the reference procedure and recorded work, without operating the engine.</w:t>
      </w:r>
    </w:p>
    <w:p>
      <w:pPr>
        <w:pStyle w:val="LandscapeFigureHeading"/>
        <w:bidi w:val="0"/>
        <w:jc w:val="start"/>
        <w:rPr/>
      </w:pPr>
      <w:r>
        <w:rPr/>
        <w:t>Appendix B. Finite component illustration</w:t>
      </w:r>
    </w:p>
    <w:p>
      <w:pPr>
        <w:pStyle w:val="FigureParagraph"/>
        <w:keepNext w:val="true"/>
        <w:bidi w:val="0"/>
        <w:spacing w:lineRule="auto" w:line="240"/>
        <w:jc w:val="center"/>
        <w:rPr/>
      </w:pPr>
      <w:r>
        <w:rPr/>
        <w:drawing>
          <wp:inline distT="0" distB="0" distL="0" distR="0">
            <wp:extent cx="8046720" cy="2548255"/>
            <wp:effectExtent l="0" t="0" r="0" b="0"/>
            <wp:docPr id="4" name="SealedRender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ealedRender4" descr="" title=""/>
                    <pic:cNvPicPr>
                      <a:picLocks noChangeAspect="1" noChangeArrowheads="1"/>
                    </pic:cNvPicPr>
                  </pic:nvPicPr>
                  <pic:blipFill>
                    <a:blip r:embed="rId5"/>
                    <a:stretch>
                      <a:fillRect/>
                    </a:stretch>
                  </pic:blipFill>
                  <pic:spPr bwMode="auto">
                    <a:xfrm>
                      <a:off x="0" y="0"/>
                      <a:ext cx="8046720" cy="2548255"/>
                    </a:xfrm>
                    <a:prstGeom prst="rect">
                      <a:avLst/>
                    </a:prstGeom>
                  </pic:spPr>
                </pic:pic>
              </a:graphicData>
            </a:graphic>
          </wp:inline>
        </w:drawing>
      </w:r>
    </w:p>
    <w:p>
      <w:pPr>
        <w:sectPr>
          <w:type w:val="nextPage"/>
          <w:pgSz w:orient="landscape" w:w="15840" w:h="12240"/>
          <w:pgMar w:left="1440" w:right="1440" w:gutter="0" w:header="0" w:top="1440" w:footer="0" w:bottom="1440"/>
          <w:pgNumType w:fmt="decimal"/>
          <w:formProt w:val="false"/>
          <w:textDirection w:val="lrTb"/>
          <w:docGrid w:type="default" w:linePitch="600" w:charSpace="32768"/>
        </w:sectPr>
        <w:pStyle w:val="Plain"/>
        <w:bidi w:val="0"/>
        <w:spacing w:lineRule="exact" w:line="365"/>
        <w:jc w:val="start"/>
        <w:rPr/>
      </w:pPr>
      <w:r>
        <w:rPr/>
        <w:t>Figure 4. Finite component-model predictions retained as an illustration of mechanical assumptions. The dashed inherited-model reference does not validate the added plate model. Recovery and material properties are estimates. Positive margins for incorrect command sequences are not evidence of a correct repair.</w:t>
      </w:r>
    </w:p>
    <w:p>
      <w:pPr>
        <w:pStyle w:val="PortraitReturnHeading"/>
        <w:bidi w:val="0"/>
        <w:jc w:val="start"/>
        <w:rPr/>
      </w:pPr>
      <w:r>
        <w:rPr/>
        <w:t>Appendix C. Task and checkpoint details</w:t>
      </w:r>
    </w:p>
    <w:p>
      <w:pPr>
        <w:pStyle w:val="Plain"/>
        <w:bidi w:val="0"/>
        <w:spacing w:lineRule="exact" w:line="365"/>
        <w:jc w:val="start"/>
        <w:rPr/>
      </w:pPr>
      <w:r>
        <w:rPr/>
        <w:t>These variants are a draft task set. All checkpoints retain their normal meaning when an abnormal condition is absent. Variant identifiers are task labels, not observed samples.</w:t>
      </w:r>
    </w:p>
    <w:p>
      <w:pPr>
        <w:pStyle w:val="TableCaption"/>
        <w:keepNext w:val="true"/>
        <w:bidi w:val="0"/>
        <w:jc w:val="start"/>
        <w:rPr/>
      </w:pPr>
      <w:r>
        <w:rPr/>
        <w:t>Table 5. Appendix C. Task and checkpoint details</w:t>
      </w:r>
    </w:p>
    <w:tbl>
      <w:tblPr>
        <w:tblW w:w="9360" w:type="dxa"/>
        <w:jc w:val="start"/>
        <w:tblInd w:w="0" w:type="dxa"/>
        <w:tblLayout w:type="fixed"/>
        <w:tblCellMar>
          <w:top w:w="58" w:type="dxa"/>
          <w:start w:w="58" w:type="dxa"/>
          <w:bottom w:w="58" w:type="dxa"/>
          <w:end w:w="58" w:type="dxa"/>
        </w:tblCellMar>
      </w:tblPr>
      <w:tblGrid>
        <w:gridCol w:w="2160"/>
        <w:gridCol w:w="7200"/>
      </w:tblGrid>
      <w:tr>
        <w:trPr/>
        <w:tc>
          <w:tcPr>
            <w:tcW w:w="2160" w:type="dxa"/>
            <w:tcBorders>
              <w:bottom w:val="single" w:sz="2" w:space="0" w:color="CCCCCC"/>
            </w:tcBorders>
          </w:tcPr>
          <w:p>
            <w:pPr>
              <w:pStyle w:val="Plain"/>
              <w:bidi w:val="0"/>
              <w:spacing w:lineRule="exact" w:line="365"/>
              <w:jc w:val="start"/>
              <w:rPr/>
            </w:pPr>
            <w:r>
              <w:rPr>
                <w:rStyle w:val="Tb"/>
              </w:rPr>
              <w:t>Variant</w:t>
            </w:r>
          </w:p>
        </w:tc>
        <w:tc>
          <w:tcPr>
            <w:tcW w:w="7200" w:type="dxa"/>
            <w:tcBorders>
              <w:bottom w:val="single" w:sz="2" w:space="0" w:color="CCCCCC"/>
            </w:tcBorders>
          </w:tcPr>
          <w:p>
            <w:pPr>
              <w:pStyle w:val="Plain"/>
              <w:bidi w:val="0"/>
              <w:spacing w:lineRule="exact" w:line="365"/>
              <w:jc w:val="start"/>
              <w:rPr/>
            </w:pPr>
            <w:r>
              <w:rPr>
                <w:rStyle w:val="Tb"/>
              </w:rPr>
              <w:t>Required decision</w:t>
            </w:r>
          </w:p>
        </w:tc>
      </w:tr>
      <w:tr>
        <w:trPr/>
        <w:tc>
          <w:tcPr>
            <w:tcW w:w="2160" w:type="dxa"/>
            <w:tcBorders>
              <w:bottom w:val="single" w:sz="2" w:space="0" w:color="CCCCCC"/>
            </w:tcBorders>
          </w:tcPr>
          <w:p>
            <w:pPr>
              <w:pStyle w:val="Plain"/>
              <w:bidi w:val="0"/>
              <w:spacing w:lineRule="exact" w:line="365"/>
              <w:jc w:val="start"/>
              <w:rPr/>
            </w:pPr>
            <w:r>
              <w:rPr/>
              <w:t>V1 standard job.</w:t>
            </w:r>
          </w:p>
        </w:tc>
        <w:tc>
          <w:tcPr>
            <w:tcW w:w="7200" w:type="dxa"/>
            <w:tcBorders>
              <w:bottom w:val="single" w:sz="2" w:space="0" w:color="CCCCCC"/>
            </w:tcBorders>
          </w:tcPr>
          <w:p>
            <w:pPr>
              <w:pStyle w:val="Plain"/>
              <w:bidi w:val="0"/>
              <w:spacing w:lineRule="exact" w:line="365"/>
              <w:jc w:val="start"/>
              <w:rPr/>
            </w:pPr>
            <w:r>
              <w:rPr/>
              <w:t>Nothing abnormal.</w:t>
            </w:r>
          </w:p>
        </w:tc>
      </w:tr>
      <w:tr>
        <w:trPr/>
        <w:tc>
          <w:tcPr>
            <w:tcW w:w="2160" w:type="dxa"/>
            <w:tcBorders>
              <w:bottom w:val="single" w:sz="2" w:space="0" w:color="CCCCCC"/>
            </w:tcBorders>
          </w:tcPr>
          <w:p>
            <w:pPr>
              <w:pStyle w:val="Plain"/>
              <w:bidi w:val="0"/>
              <w:spacing w:lineRule="exact" w:line="365"/>
              <w:jc w:val="start"/>
              <w:rPr/>
            </w:pPr>
            <w:r>
              <w:rPr/>
              <w:t>V2 stretched bolt.</w:t>
            </w:r>
          </w:p>
        </w:tc>
        <w:tc>
          <w:tcPr>
            <w:tcW w:w="7200" w:type="dxa"/>
            <w:tcBorders>
              <w:bottom w:val="single" w:sz="2" w:space="0" w:color="CCCCCC"/>
            </w:tcBorders>
          </w:tcPr>
          <w:p>
            <w:pPr>
              <w:pStyle w:val="Plain"/>
              <w:bidi w:val="0"/>
              <w:spacing w:lineRule="exact" w:line="365"/>
              <w:jc w:val="start"/>
              <w:rPr/>
            </w:pPr>
            <w:r>
              <w:rPr/>
              <w:t>One head bolt is beyond the reuse limit and must be found by measurement and replaced.</w:t>
            </w:r>
          </w:p>
        </w:tc>
      </w:tr>
      <w:tr>
        <w:trPr/>
        <w:tc>
          <w:tcPr>
            <w:tcW w:w="2160" w:type="dxa"/>
            <w:tcBorders>
              <w:bottom w:val="single" w:sz="2" w:space="0" w:color="CCCCCC"/>
            </w:tcBorders>
          </w:tcPr>
          <w:p>
            <w:pPr>
              <w:pStyle w:val="Plain"/>
              <w:bidi w:val="0"/>
              <w:spacing w:lineRule="exact" w:line="365"/>
              <w:jc w:val="start"/>
              <w:rPr/>
            </w:pPr>
            <w:r>
              <w:rPr/>
              <w:t>V3 warped head.</w:t>
            </w:r>
          </w:p>
        </w:tc>
        <w:tc>
          <w:tcPr>
            <w:tcW w:w="7200" w:type="dxa"/>
            <w:tcBorders>
              <w:bottom w:val="single" w:sz="2" w:space="0" w:color="CCCCCC"/>
            </w:tcBorders>
          </w:tcPr>
          <w:p>
            <w:pPr>
              <w:pStyle w:val="Plain"/>
              <w:bidi w:val="0"/>
              <w:spacing w:lineRule="exact" w:line="365"/>
              <w:jc w:val="start"/>
              <w:rPr/>
            </w:pPr>
            <w:r>
              <w:rPr/>
              <w:t>The head is beyond the flatness limit and must be measured and sent for machining, or replaced, before reassembly.</w:t>
            </w:r>
          </w:p>
        </w:tc>
      </w:tr>
      <w:tr>
        <w:trPr/>
        <w:tc>
          <w:tcPr>
            <w:tcW w:w="2160" w:type="dxa"/>
            <w:tcBorders>
              <w:bottom w:val="single" w:sz="2" w:space="0" w:color="CCCCCC"/>
            </w:tcBorders>
          </w:tcPr>
          <w:p>
            <w:pPr>
              <w:pStyle w:val="Plain"/>
              <w:bidi w:val="0"/>
              <w:spacing w:lineRule="exact" w:line="365"/>
              <w:jc w:val="start"/>
              <w:rPr/>
            </w:pPr>
            <w:r>
              <w:rPr/>
              <w:t>V4 wrong gasket offered.</w:t>
            </w:r>
          </w:p>
        </w:tc>
        <w:tc>
          <w:tcPr>
            <w:tcW w:w="7200" w:type="dxa"/>
            <w:tcBorders>
              <w:bottom w:val="single" w:sz="2" w:space="0" w:color="CCCCCC"/>
            </w:tcBorders>
          </w:tcPr>
          <w:p>
            <w:pPr>
              <w:pStyle w:val="Plain"/>
              <w:bidi w:val="0"/>
              <w:spacing w:lineRule="exact" w:line="365"/>
              <w:jc w:val="start"/>
              <w:rPr/>
            </w:pPr>
            <w:r>
              <w:rPr/>
              <w:t>The parts available include an incorrect gasket next to the correct one.</w:t>
            </w:r>
          </w:p>
        </w:tc>
      </w:tr>
      <w:tr>
        <w:trPr/>
        <w:tc>
          <w:tcPr>
            <w:tcW w:w="2160" w:type="dxa"/>
            <w:tcBorders>
              <w:bottom w:val="single" w:sz="2" w:space="0" w:color="CCCCCC"/>
            </w:tcBorders>
          </w:tcPr>
          <w:p>
            <w:pPr>
              <w:pStyle w:val="Plain"/>
              <w:bidi w:val="0"/>
              <w:spacing w:lineRule="exact" w:line="365"/>
              <w:jc w:val="start"/>
              <w:rPr/>
            </w:pPr>
            <w:r>
              <w:rPr/>
              <w:t>V5 worn timing belt.</w:t>
            </w:r>
          </w:p>
        </w:tc>
        <w:tc>
          <w:tcPr>
            <w:tcW w:w="7200" w:type="dxa"/>
            <w:tcBorders>
              <w:bottom w:val="single" w:sz="2" w:space="0" w:color="CCCCCC"/>
            </w:tcBorders>
          </w:tcPr>
          <w:p>
            <w:pPr>
              <w:pStyle w:val="Plain"/>
              <w:bidi w:val="0"/>
              <w:spacing w:lineRule="exact" w:line="365"/>
              <w:jc w:val="start"/>
              <w:rPr/>
            </w:pPr>
            <w:r>
              <w:rPr/>
              <w:t>The timing belt must be inspected and replaced.</w:t>
            </w:r>
          </w:p>
        </w:tc>
      </w:tr>
    </w:tbl>
    <w:p>
      <w:pPr>
        <w:pStyle w:val="Plain"/>
        <w:bidi w:val="0"/>
        <w:spacing w:lineRule="exact" w:line="365"/>
        <w:jc w:val="start"/>
        <w:rPr/>
      </w:pPr>
      <w:r>
        <w:rPr/>
        <w:t>Original-rule references cover the warped-head and worn-belt configurations, with a separate head-replacement alternative. This supports the recorded software cases rather than physical machining or part-fit validation. Component identity, condition and timing transitions must be reviewed against the exact amended runtime before comparative collection.</w:t>
      </w:r>
    </w:p>
    <w:p>
      <w:pPr>
        <w:pStyle w:val="Plain"/>
        <w:bidi w:val="0"/>
        <w:spacing w:lineRule="exact" w:line="365"/>
        <w:jc w:val="start"/>
        <w:rPr/>
      </w:pPr>
      <w:r>
        <w:rPr/>
        <w:t>A proposed wrong-gasket task offers a specified incorrect gasket alongside the correct replacement. The agent must inspect the assembly, identify the required replacement and complete the applicable service sequence. A final declaration alone cannot demonstrate part identity or ordered torque stages; checkpoint evidence must come from component state and action history. Reassembly checks should distinguish legitimate replacement and disposal from an absent required component. This example illustrates the proposed evaluation contract and is not an observed agent run.</w:t>
      </w:r>
    </w:p>
    <w:p>
      <w:pPr>
        <w:pStyle w:val="AppendixHeading"/>
        <w:keepNext w:val="true"/>
        <w:bidi w:val="0"/>
        <w:spacing w:before="0" w:after="216"/>
        <w:jc w:val="start"/>
        <w:rPr/>
      </w:pPr>
      <w:r>
        <w:rPr/>
        <w:t>Appendix C. Signed checkpoint requirements</w:t>
      </w:r>
    </w:p>
    <w:p>
      <w:pPr>
        <w:pStyle w:val="TableCaption"/>
        <w:keepNext w:val="true"/>
        <w:bidi w:val="0"/>
        <w:jc w:val="start"/>
        <w:rPr/>
      </w:pPr>
      <w:r>
        <w:rPr/>
        <w:t>Table 6. Appendix C. Signed checkpoint requirements</w:t>
      </w:r>
    </w:p>
    <w:tbl>
      <w:tblPr>
        <w:tblW w:w="9360" w:type="dxa"/>
        <w:jc w:val="start"/>
        <w:tblInd w:w="0" w:type="dxa"/>
        <w:tblLayout w:type="fixed"/>
        <w:tblCellMar>
          <w:top w:w="58" w:type="dxa"/>
          <w:start w:w="58" w:type="dxa"/>
          <w:bottom w:w="58" w:type="dxa"/>
          <w:end w:w="58" w:type="dxa"/>
        </w:tblCellMar>
      </w:tblPr>
      <w:tblGrid>
        <w:gridCol w:w="1440"/>
        <w:gridCol w:w="7056"/>
        <w:gridCol w:w="864"/>
      </w:tblGrid>
      <w:tr>
        <w:trPr/>
        <w:tc>
          <w:tcPr>
            <w:tcW w:w="1440" w:type="dxa"/>
            <w:tcBorders>
              <w:bottom w:val="single" w:sz="2" w:space="0" w:color="CCCCCC"/>
            </w:tcBorders>
          </w:tcPr>
          <w:p>
            <w:pPr>
              <w:pStyle w:val="Plain"/>
              <w:bidi w:val="0"/>
              <w:spacing w:lineRule="exact" w:line="365"/>
              <w:jc w:val="start"/>
              <w:rPr/>
            </w:pPr>
            <w:r>
              <w:rPr>
                <w:rStyle w:val="Tb"/>
              </w:rPr>
              <w:t>Checkpoint</w:t>
            </w:r>
          </w:p>
        </w:tc>
        <w:tc>
          <w:tcPr>
            <w:tcW w:w="7056" w:type="dxa"/>
            <w:tcBorders>
              <w:bottom w:val="single" w:sz="2" w:space="0" w:color="CCCCCC"/>
            </w:tcBorders>
          </w:tcPr>
          <w:p>
            <w:pPr>
              <w:pStyle w:val="Plain"/>
              <w:bidi w:val="0"/>
              <w:spacing w:lineRule="exact" w:line="365"/>
              <w:jc w:val="start"/>
              <w:rPr/>
            </w:pPr>
            <w:r>
              <w:rPr>
                <w:rStyle w:val="Tb"/>
              </w:rPr>
              <w:t>Required evidence</w:t>
            </w:r>
          </w:p>
        </w:tc>
        <w:tc>
          <w:tcPr>
            <w:tcW w:w="864" w:type="dxa"/>
            <w:tcBorders>
              <w:bottom w:val="single" w:sz="2" w:space="0" w:color="CCCCCC"/>
            </w:tcBorders>
          </w:tcPr>
          <w:p>
            <w:pPr>
              <w:pStyle w:val="Plain"/>
              <w:bidi w:val="0"/>
              <w:spacing w:lineRule="exact" w:line="365"/>
              <w:jc w:val="start"/>
              <w:rPr/>
            </w:pPr>
            <w:r>
              <w:rPr>
                <w:rStyle w:val="Tb"/>
              </w:rPr>
              <w:t>Points</w:t>
            </w:r>
          </w:p>
        </w:tc>
      </w:tr>
      <w:tr>
        <w:trPr/>
        <w:tc>
          <w:tcPr>
            <w:tcW w:w="1440" w:type="dxa"/>
            <w:tcBorders>
              <w:bottom w:val="single" w:sz="2" w:space="0" w:color="CCCCCC"/>
            </w:tcBorders>
          </w:tcPr>
          <w:p>
            <w:pPr>
              <w:pStyle w:val="Plain"/>
              <w:bidi w:val="0"/>
              <w:spacing w:lineRule="exact" w:line="365"/>
              <w:jc w:val="start"/>
              <w:rPr/>
            </w:pPr>
            <w:r>
              <w:rPr/>
              <w:t>1</w:t>
            </w:r>
          </w:p>
        </w:tc>
        <w:tc>
          <w:tcPr>
            <w:tcW w:w="7056" w:type="dxa"/>
            <w:tcBorders>
              <w:bottom w:val="single" w:sz="2" w:space="0" w:color="CCCCCC"/>
            </w:tcBorders>
          </w:tcPr>
          <w:p>
            <w:pPr>
              <w:pStyle w:val="Plain"/>
              <w:bidi w:val="0"/>
              <w:spacing w:lineRule="exact" w:line="365"/>
              <w:jc w:val="start"/>
              <w:rPr/>
            </w:pPr>
            <w:r>
              <w:rPr/>
              <w:t>Torque values, both stages and the sequence were retrieved from the service information before the first tightening of any head bolt.</w:t>
            </w:r>
          </w:p>
        </w:tc>
        <w:tc>
          <w:tcPr>
            <w:tcW w:w="864" w:type="dxa"/>
            <w:tcBorders>
              <w:bottom w:val="single" w:sz="2" w:space="0" w:color="CCCCCC"/>
            </w:tcBorders>
          </w:tcPr>
          <w:p>
            <w:pPr>
              <w:pStyle w:val="Plain"/>
              <w:bidi w:val="0"/>
              <w:spacing w:lineRule="exact" w:line="365"/>
              <w:jc w:val="start"/>
              <w:rPr/>
            </w:pPr>
            <w:r>
              <w:rPr/>
              <w:t>1</w:t>
            </w:r>
          </w:p>
        </w:tc>
      </w:tr>
      <w:tr>
        <w:trPr/>
        <w:tc>
          <w:tcPr>
            <w:tcW w:w="1440" w:type="dxa"/>
            <w:tcBorders>
              <w:bottom w:val="single" w:sz="2" w:space="0" w:color="CCCCCC"/>
            </w:tcBorders>
          </w:tcPr>
          <w:p>
            <w:pPr>
              <w:pStyle w:val="Plain"/>
              <w:bidi w:val="0"/>
              <w:spacing w:lineRule="exact" w:line="365"/>
              <w:jc w:val="start"/>
              <w:rPr/>
            </w:pPr>
            <w:r>
              <w:rPr/>
              <w:t>2</w:t>
            </w:r>
          </w:p>
        </w:tc>
        <w:tc>
          <w:tcPr>
            <w:tcW w:w="7056" w:type="dxa"/>
            <w:tcBorders>
              <w:bottom w:val="single" w:sz="2" w:space="0" w:color="CCCCCC"/>
            </w:tcBorders>
          </w:tcPr>
          <w:p>
            <w:pPr>
              <w:pStyle w:val="Plain"/>
              <w:bidi w:val="0"/>
              <w:spacing w:lineRule="exact" w:line="365"/>
              <w:jc w:val="start"/>
              <w:rPr/>
            </w:pPr>
            <w:r>
              <w:rPr/>
              <w:t>Disassembly followed the documented removal policy. Any refused removal attempt of a part that was still blocked or still attached fails CP02, and is also counted as a mistake.</w:t>
            </w:r>
          </w:p>
        </w:tc>
        <w:tc>
          <w:tcPr>
            <w:tcW w:w="864" w:type="dxa"/>
            <w:tcBorders>
              <w:bottom w:val="single" w:sz="2" w:space="0" w:color="CCCCCC"/>
            </w:tcBorders>
          </w:tcPr>
          <w:p>
            <w:pPr>
              <w:pStyle w:val="Plain"/>
              <w:bidi w:val="0"/>
              <w:spacing w:lineRule="exact" w:line="365"/>
              <w:jc w:val="start"/>
              <w:rPr/>
            </w:pPr>
            <w:r>
              <w:rPr/>
              <w:t>2</w:t>
            </w:r>
          </w:p>
        </w:tc>
      </w:tr>
      <w:tr>
        <w:trPr/>
        <w:tc>
          <w:tcPr>
            <w:tcW w:w="1440" w:type="dxa"/>
            <w:tcBorders>
              <w:bottom w:val="single" w:sz="2" w:space="0" w:color="CCCCCC"/>
            </w:tcBorders>
          </w:tcPr>
          <w:p>
            <w:pPr>
              <w:pStyle w:val="Plain"/>
              <w:bidi w:val="0"/>
              <w:spacing w:lineRule="exact" w:line="365"/>
              <w:jc w:val="start"/>
              <w:rPr/>
            </w:pPr>
            <w:r>
              <w:rPr/>
              <w:t>3</w:t>
            </w:r>
          </w:p>
        </w:tc>
        <w:tc>
          <w:tcPr>
            <w:tcW w:w="7056" w:type="dxa"/>
            <w:tcBorders>
              <w:bottom w:val="single" w:sz="2" w:space="0" w:color="CCCCCC"/>
            </w:tcBorders>
          </w:tcPr>
          <w:p>
            <w:pPr>
              <w:pStyle w:val="Plain"/>
              <w:bidi w:val="0"/>
              <w:spacing w:lineRule="exact" w:line="365"/>
              <w:jc w:val="start"/>
              <w:rPr/>
            </w:pPr>
            <w:r>
              <w:rPr/>
              <w:t>Before the timing belt came off: cylinder 1 at TDC and the timing marks aligned, confirmed by a check observation.</w:t>
            </w:r>
          </w:p>
        </w:tc>
        <w:tc>
          <w:tcPr>
            <w:tcW w:w="864" w:type="dxa"/>
            <w:tcBorders>
              <w:bottom w:val="single" w:sz="2" w:space="0" w:color="CCCCCC"/>
            </w:tcBorders>
          </w:tcPr>
          <w:p>
            <w:pPr>
              <w:pStyle w:val="Plain"/>
              <w:bidi w:val="0"/>
              <w:spacing w:lineRule="exact" w:line="365"/>
              <w:jc w:val="start"/>
              <w:rPr/>
            </w:pPr>
            <w:r>
              <w:rPr/>
              <w:t>1</w:t>
            </w:r>
          </w:p>
        </w:tc>
      </w:tr>
      <w:tr>
        <w:trPr/>
        <w:tc>
          <w:tcPr>
            <w:tcW w:w="1440" w:type="dxa"/>
            <w:tcBorders>
              <w:bottom w:val="single" w:sz="2" w:space="0" w:color="CCCCCC"/>
            </w:tcBorders>
          </w:tcPr>
          <w:p>
            <w:pPr>
              <w:pStyle w:val="Plain"/>
              <w:bidi w:val="0"/>
              <w:spacing w:lineRule="exact" w:line="365"/>
              <w:jc w:val="start"/>
              <w:rPr/>
            </w:pPr>
            <w:r>
              <w:rPr/>
              <w:t>4</w:t>
            </w:r>
          </w:p>
        </w:tc>
        <w:tc>
          <w:tcPr>
            <w:tcW w:w="7056" w:type="dxa"/>
            <w:tcBorders>
              <w:bottom w:val="single" w:sz="2" w:space="0" w:color="CCCCCC"/>
            </w:tcBorders>
          </w:tcPr>
          <w:p>
            <w:pPr>
              <w:pStyle w:val="Plain"/>
              <w:bidi w:val="0"/>
              <w:spacing w:lineRule="exact" w:line="365"/>
              <w:jc w:val="start"/>
              <w:rPr/>
            </w:pPr>
            <w:r>
              <w:rPr/>
              <w:t>Head bolts loosened in the specified order and stages before head removal. The agent must use one complete documented sequence, either the factory diagram order (10, 9, 8, 7, 6, 3, 4, 5, 2, 1) or exact reverse (10 to 1), consistently across all loosening passes.</w:t>
            </w:r>
          </w:p>
        </w:tc>
        <w:tc>
          <w:tcPr>
            <w:tcW w:w="864" w:type="dxa"/>
            <w:tcBorders>
              <w:bottom w:val="single" w:sz="2" w:space="0" w:color="CCCCCC"/>
            </w:tcBorders>
          </w:tcPr>
          <w:p>
            <w:pPr>
              <w:pStyle w:val="Plain"/>
              <w:bidi w:val="0"/>
              <w:spacing w:lineRule="exact" w:line="365"/>
              <w:jc w:val="start"/>
              <w:rPr/>
            </w:pPr>
            <w:r>
              <w:rPr/>
              <w:t>1</w:t>
            </w:r>
          </w:p>
        </w:tc>
      </w:tr>
      <w:tr>
        <w:trPr/>
        <w:tc>
          <w:tcPr>
            <w:tcW w:w="1440" w:type="dxa"/>
            <w:tcBorders>
              <w:bottom w:val="single" w:sz="2" w:space="0" w:color="CCCCCC"/>
            </w:tcBorders>
          </w:tcPr>
          <w:p>
            <w:pPr>
              <w:pStyle w:val="Plain"/>
              <w:bidi w:val="0"/>
              <w:spacing w:lineRule="exact" w:line="365"/>
              <w:jc w:val="start"/>
              <w:rPr/>
            </w:pPr>
            <w:r>
              <w:rPr/>
              <w:t>5</w:t>
            </w:r>
          </w:p>
        </w:tc>
        <w:tc>
          <w:tcPr>
            <w:tcW w:w="7056" w:type="dxa"/>
            <w:tcBorders>
              <w:bottom w:val="single" w:sz="2" w:space="0" w:color="CCCCCC"/>
            </w:tcBorders>
          </w:tcPr>
          <w:p>
            <w:pPr>
              <w:pStyle w:val="Plain"/>
              <w:bidi w:val="0"/>
              <w:spacing w:lineRule="exact" w:line="365"/>
              <w:jc w:val="start"/>
              <w:rPr/>
            </w:pPr>
            <w:r>
              <w:rPr/>
              <w:t>After the head and the old gasket were removed, and before the new gasket was placed: both mating surfaces cleaned.</w:t>
            </w:r>
          </w:p>
        </w:tc>
        <w:tc>
          <w:tcPr>
            <w:tcW w:w="864" w:type="dxa"/>
            <w:tcBorders>
              <w:bottom w:val="single" w:sz="2" w:space="0" w:color="CCCCCC"/>
            </w:tcBorders>
          </w:tcPr>
          <w:p>
            <w:pPr>
              <w:pStyle w:val="Plain"/>
              <w:bidi w:val="0"/>
              <w:spacing w:lineRule="exact" w:line="365"/>
              <w:jc w:val="start"/>
              <w:rPr/>
            </w:pPr>
            <w:r>
              <w:rPr/>
              <w:t>1</w:t>
            </w:r>
          </w:p>
        </w:tc>
      </w:tr>
      <w:tr>
        <w:trPr/>
        <w:tc>
          <w:tcPr>
            <w:tcW w:w="1440" w:type="dxa"/>
            <w:tcBorders>
              <w:bottom w:val="single" w:sz="2" w:space="0" w:color="CCCCCC"/>
            </w:tcBorders>
          </w:tcPr>
          <w:p>
            <w:pPr>
              <w:pStyle w:val="Plain"/>
              <w:bidi w:val="0"/>
              <w:spacing w:lineRule="exact" w:line="365"/>
              <w:jc w:val="start"/>
              <w:rPr/>
            </w:pPr>
            <w:r>
              <w:rPr/>
              <w:t>6</w:t>
            </w:r>
          </w:p>
        </w:tc>
        <w:tc>
          <w:tcPr>
            <w:tcW w:w="7056" w:type="dxa"/>
            <w:tcBorders>
              <w:bottom w:val="single" w:sz="2" w:space="0" w:color="CCCCCC"/>
            </w:tcBorders>
          </w:tcPr>
          <w:p>
            <w:pPr>
              <w:pStyle w:val="Plain"/>
              <w:bidi w:val="0"/>
              <w:spacing w:lineRule="exact" w:line="365"/>
              <w:jc w:val="start"/>
              <w:rPr/>
            </w:pPr>
            <w:r>
              <w:rPr/>
              <w:t>Head and block flatness both measured and compared with the service limit before the head was installed. The decision is correct for the variant: V3 machine or replace the head; otherwise reuse it.</w:t>
            </w:r>
          </w:p>
        </w:tc>
        <w:tc>
          <w:tcPr>
            <w:tcW w:w="864" w:type="dxa"/>
            <w:tcBorders>
              <w:bottom w:val="single" w:sz="2" w:space="0" w:color="CCCCCC"/>
            </w:tcBorders>
          </w:tcPr>
          <w:p>
            <w:pPr>
              <w:pStyle w:val="Plain"/>
              <w:bidi w:val="0"/>
              <w:spacing w:lineRule="exact" w:line="365"/>
              <w:jc w:val="start"/>
              <w:rPr/>
            </w:pPr>
            <w:r>
              <w:rPr/>
              <w:t>1</w:t>
            </w:r>
          </w:p>
        </w:tc>
      </w:tr>
    </w:tbl>
    <w:p>
      <w:pPr>
        <w:pStyle w:val="AppendixHeading"/>
        <w:keepNext w:val="true"/>
        <w:bidi w:val="0"/>
        <w:spacing w:before="0" w:after="216"/>
        <w:jc w:val="start"/>
        <w:rPr/>
      </w:pPr>
      <w:r>
        <w:rPr/>
        <w:t>Appendix C. Signed checkpoint requirements continued</w:t>
      </w:r>
    </w:p>
    <w:p>
      <w:pPr>
        <w:pStyle w:val="TableCaption"/>
        <w:keepNext w:val="true"/>
        <w:bidi w:val="0"/>
        <w:jc w:val="start"/>
        <w:rPr/>
      </w:pPr>
      <w:r>
        <w:rPr/>
        <w:t>Table 7. Appendix C. Signed checkpoint requirements continued</w:t>
      </w:r>
    </w:p>
    <w:tbl>
      <w:tblPr>
        <w:tblW w:w="9360" w:type="dxa"/>
        <w:jc w:val="start"/>
        <w:tblInd w:w="0" w:type="dxa"/>
        <w:tblLayout w:type="fixed"/>
        <w:tblCellMar>
          <w:top w:w="58" w:type="dxa"/>
          <w:start w:w="58" w:type="dxa"/>
          <w:bottom w:w="58" w:type="dxa"/>
          <w:end w:w="58" w:type="dxa"/>
        </w:tblCellMar>
      </w:tblPr>
      <w:tblGrid>
        <w:gridCol w:w="1440"/>
        <w:gridCol w:w="7056"/>
        <w:gridCol w:w="864"/>
      </w:tblGrid>
      <w:tr>
        <w:trPr/>
        <w:tc>
          <w:tcPr>
            <w:tcW w:w="1440" w:type="dxa"/>
            <w:tcBorders>
              <w:bottom w:val="single" w:sz="2" w:space="0" w:color="CCCCCC"/>
            </w:tcBorders>
          </w:tcPr>
          <w:p>
            <w:pPr>
              <w:pStyle w:val="Plain"/>
              <w:bidi w:val="0"/>
              <w:spacing w:lineRule="exact" w:line="365"/>
              <w:jc w:val="start"/>
              <w:rPr/>
            </w:pPr>
            <w:r>
              <w:rPr>
                <w:rStyle w:val="Tb"/>
              </w:rPr>
              <w:t>Checkpoint</w:t>
            </w:r>
          </w:p>
        </w:tc>
        <w:tc>
          <w:tcPr>
            <w:tcW w:w="7056" w:type="dxa"/>
            <w:tcBorders>
              <w:bottom w:val="single" w:sz="2" w:space="0" w:color="CCCCCC"/>
            </w:tcBorders>
          </w:tcPr>
          <w:p>
            <w:pPr>
              <w:pStyle w:val="Plain"/>
              <w:bidi w:val="0"/>
              <w:spacing w:lineRule="exact" w:line="365"/>
              <w:jc w:val="start"/>
              <w:rPr/>
            </w:pPr>
            <w:r>
              <w:rPr>
                <w:rStyle w:val="Tb"/>
              </w:rPr>
              <w:t>Required evidence</w:t>
            </w:r>
          </w:p>
        </w:tc>
        <w:tc>
          <w:tcPr>
            <w:tcW w:w="864" w:type="dxa"/>
            <w:tcBorders>
              <w:bottom w:val="single" w:sz="2" w:space="0" w:color="CCCCCC"/>
            </w:tcBorders>
          </w:tcPr>
          <w:p>
            <w:pPr>
              <w:pStyle w:val="Plain"/>
              <w:bidi w:val="0"/>
              <w:spacing w:lineRule="exact" w:line="365"/>
              <w:jc w:val="start"/>
              <w:rPr/>
            </w:pPr>
            <w:r>
              <w:rPr>
                <w:rStyle w:val="Tb"/>
              </w:rPr>
              <w:t>Points</w:t>
            </w:r>
          </w:p>
        </w:tc>
      </w:tr>
      <w:tr>
        <w:trPr/>
        <w:tc>
          <w:tcPr>
            <w:tcW w:w="1440" w:type="dxa"/>
            <w:tcBorders>
              <w:bottom w:val="single" w:sz="2" w:space="0" w:color="CCCCCC"/>
            </w:tcBorders>
          </w:tcPr>
          <w:p>
            <w:pPr>
              <w:pStyle w:val="Plain"/>
              <w:bidi w:val="0"/>
              <w:spacing w:lineRule="exact" w:line="365"/>
              <w:jc w:val="start"/>
              <w:rPr/>
            </w:pPr>
            <w:r>
              <w:rPr/>
              <w:t>7</w:t>
            </w:r>
          </w:p>
        </w:tc>
        <w:tc>
          <w:tcPr>
            <w:tcW w:w="7056" w:type="dxa"/>
            <w:tcBorders>
              <w:bottom w:val="single" w:sz="2" w:space="0" w:color="CCCCCC"/>
            </w:tcBorders>
          </w:tcPr>
          <w:p>
            <w:pPr>
              <w:pStyle w:val="Plain"/>
              <w:bidi w:val="0"/>
              <w:spacing w:lineRule="exact" w:line="365"/>
              <w:jc w:val="start"/>
              <w:rPr/>
            </w:pPr>
            <w:r>
              <w:rPr/>
              <w:t>Every head bolt measured against the reuse limit before its keep-or-replace decision, and the decision is correct: V2 replace the stretched bolt; otherwise keep.</w:t>
            </w:r>
          </w:p>
        </w:tc>
        <w:tc>
          <w:tcPr>
            <w:tcW w:w="864" w:type="dxa"/>
            <w:tcBorders>
              <w:bottom w:val="single" w:sz="2" w:space="0" w:color="CCCCCC"/>
            </w:tcBorders>
          </w:tcPr>
          <w:p>
            <w:pPr>
              <w:pStyle w:val="Plain"/>
              <w:bidi w:val="0"/>
              <w:spacing w:lineRule="exact" w:line="365"/>
              <w:jc w:val="start"/>
              <w:rPr/>
            </w:pPr>
            <w:r>
              <w:rPr/>
              <w:t>1</w:t>
            </w:r>
          </w:p>
        </w:tc>
      </w:tr>
      <w:tr>
        <w:trPr/>
        <w:tc>
          <w:tcPr>
            <w:tcW w:w="1440" w:type="dxa"/>
            <w:tcBorders>
              <w:bottom w:val="single" w:sz="2" w:space="0" w:color="CCCCCC"/>
            </w:tcBorders>
          </w:tcPr>
          <w:p>
            <w:pPr>
              <w:pStyle w:val="Plain"/>
              <w:bidi w:val="0"/>
              <w:spacing w:lineRule="exact" w:line="365"/>
              <w:jc w:val="start"/>
              <w:rPr/>
            </w:pPr>
            <w:r>
              <w:rPr/>
              <w:t>8</w:t>
            </w:r>
          </w:p>
        </w:tc>
        <w:tc>
          <w:tcPr>
            <w:tcW w:w="7056" w:type="dxa"/>
            <w:tcBorders>
              <w:bottom w:val="single" w:sz="2" w:space="0" w:color="CCCCCC"/>
            </w:tcBorders>
          </w:tcPr>
          <w:p>
            <w:pPr>
              <w:pStyle w:val="Plain"/>
              <w:bidi w:val="0"/>
              <w:spacing w:lineRule="exact" w:line="365"/>
              <w:jc w:val="start"/>
              <w:rPr/>
            </w:pPr>
            <w:r>
              <w:rPr/>
              <w:t>A new, correct head gasket (75 mm bore, 0.762 mm MLS) installed in the correct orientation with the dowels aligned. V4: installing the 78 mm / 1.2 mm part fails.</w:t>
            </w:r>
          </w:p>
        </w:tc>
        <w:tc>
          <w:tcPr>
            <w:tcW w:w="864" w:type="dxa"/>
            <w:tcBorders>
              <w:bottom w:val="single" w:sz="2" w:space="0" w:color="CCCCCC"/>
            </w:tcBorders>
          </w:tcPr>
          <w:p>
            <w:pPr>
              <w:pStyle w:val="Plain"/>
              <w:bidi w:val="0"/>
              <w:spacing w:lineRule="exact" w:line="365"/>
              <w:jc w:val="start"/>
              <w:rPr/>
            </w:pPr>
            <w:r>
              <w:rPr/>
              <w:t>2</w:t>
            </w:r>
          </w:p>
        </w:tc>
      </w:tr>
      <w:tr>
        <w:trPr/>
        <w:tc>
          <w:tcPr>
            <w:tcW w:w="1440" w:type="dxa"/>
            <w:tcBorders>
              <w:bottom w:val="single" w:sz="2" w:space="0" w:color="CCCCCC"/>
            </w:tcBorders>
          </w:tcPr>
          <w:p>
            <w:pPr>
              <w:pStyle w:val="Plain"/>
              <w:bidi w:val="0"/>
              <w:spacing w:lineRule="exact" w:line="365"/>
              <w:jc w:val="start"/>
              <w:rPr/>
            </w:pPr>
            <w:r>
              <w:rPr/>
              <w:t>9</w:t>
            </w:r>
          </w:p>
        </w:tc>
        <w:tc>
          <w:tcPr>
            <w:tcW w:w="7056" w:type="dxa"/>
            <w:tcBorders>
              <w:bottom w:val="single" w:sz="2" w:space="0" w:color="CCCCCC"/>
            </w:tcBorders>
          </w:tcPr>
          <w:p>
            <w:pPr>
              <w:pStyle w:val="Plain"/>
              <w:bidi w:val="0"/>
              <w:spacing w:lineRule="exact" w:line="365"/>
              <w:jc w:val="start"/>
              <w:rPr/>
            </w:pPr>
            <w:r>
              <w:rPr/>
              <w:t>Final state: all ten bolts carry a valid stage-1 torque at the specified value, applied in the specified sequence.</w:t>
            </w:r>
          </w:p>
        </w:tc>
        <w:tc>
          <w:tcPr>
            <w:tcW w:w="864" w:type="dxa"/>
            <w:tcBorders>
              <w:bottom w:val="single" w:sz="2" w:space="0" w:color="CCCCCC"/>
            </w:tcBorders>
          </w:tcPr>
          <w:p>
            <w:pPr>
              <w:pStyle w:val="Plain"/>
              <w:bidi w:val="0"/>
              <w:spacing w:lineRule="exact" w:line="365"/>
              <w:jc w:val="start"/>
              <w:rPr/>
            </w:pPr>
            <w:r>
              <w:rPr/>
              <w:t>2</w:t>
            </w:r>
          </w:p>
        </w:tc>
      </w:tr>
      <w:tr>
        <w:trPr/>
        <w:tc>
          <w:tcPr>
            <w:tcW w:w="1440" w:type="dxa"/>
            <w:tcBorders>
              <w:bottom w:val="single" w:sz="2" w:space="0" w:color="CCCCCC"/>
            </w:tcBorders>
          </w:tcPr>
          <w:p>
            <w:pPr>
              <w:pStyle w:val="Plain"/>
              <w:bidi w:val="0"/>
              <w:spacing w:lineRule="exact" w:line="365"/>
              <w:jc w:val="start"/>
              <w:rPr/>
            </w:pPr>
            <w:r>
              <w:rPr/>
              <w:t>10</w:t>
            </w:r>
          </w:p>
        </w:tc>
        <w:tc>
          <w:tcPr>
            <w:tcW w:w="7056" w:type="dxa"/>
            <w:tcBorders>
              <w:bottom w:val="single" w:sz="2" w:space="0" w:color="CCCCCC"/>
            </w:tcBorders>
          </w:tcPr>
          <w:p>
            <w:pPr>
              <w:pStyle w:val="Plain"/>
              <w:bidi w:val="0"/>
              <w:spacing w:lineRule="exact" w:line="365"/>
              <w:jc w:val="start"/>
              <w:rPr/>
            </w:pPr>
            <w:r>
              <w:rPr/>
              <w:t>Final state: all ten bolts carry a valid final-stage torque at the specified value, applied in the specified sequence after stage 1.</w:t>
            </w:r>
          </w:p>
        </w:tc>
        <w:tc>
          <w:tcPr>
            <w:tcW w:w="864" w:type="dxa"/>
            <w:tcBorders>
              <w:bottom w:val="single" w:sz="2" w:space="0" w:color="CCCCCC"/>
            </w:tcBorders>
          </w:tcPr>
          <w:p>
            <w:pPr>
              <w:pStyle w:val="Plain"/>
              <w:bidi w:val="0"/>
              <w:spacing w:lineRule="exact" w:line="365"/>
              <w:jc w:val="start"/>
              <w:rPr/>
            </w:pPr>
            <w:r>
              <w:rPr/>
              <w:t>2</w:t>
            </w:r>
          </w:p>
        </w:tc>
      </w:tr>
      <w:tr>
        <w:trPr/>
        <w:tc>
          <w:tcPr>
            <w:tcW w:w="1440" w:type="dxa"/>
            <w:tcBorders>
              <w:bottom w:val="single" w:sz="2" w:space="0" w:color="CCCCCC"/>
            </w:tcBorders>
          </w:tcPr>
          <w:p>
            <w:pPr>
              <w:pStyle w:val="Plain"/>
              <w:bidi w:val="0"/>
              <w:spacing w:lineRule="exact" w:line="365"/>
              <w:jc w:val="start"/>
              <w:rPr/>
            </w:pPr>
            <w:r>
              <w:rPr/>
              <w:t>11</w:t>
            </w:r>
          </w:p>
        </w:tc>
        <w:tc>
          <w:tcPr>
            <w:tcW w:w="7056" w:type="dxa"/>
            <w:tcBorders>
              <w:bottom w:val="single" w:sz="2" w:space="0" w:color="CCCCCC"/>
            </w:tcBorders>
          </w:tcPr>
          <w:p>
            <w:pPr>
              <w:pStyle w:val="Plain"/>
              <w:bidi w:val="0"/>
              <w:spacing w:lineRule="exact" w:line="365"/>
              <w:jc w:val="start"/>
              <w:rPr/>
            </w:pPr>
            <w:r>
              <w:rPr/>
              <w:t>Timing restored: marks aligned and belt tensioned, confirmed by a successful check after the belt was reinstalled. V5: a new belt.</w:t>
            </w:r>
          </w:p>
        </w:tc>
        <w:tc>
          <w:tcPr>
            <w:tcW w:w="864" w:type="dxa"/>
            <w:tcBorders>
              <w:bottom w:val="single" w:sz="2" w:space="0" w:color="CCCCCC"/>
            </w:tcBorders>
          </w:tcPr>
          <w:p>
            <w:pPr>
              <w:pStyle w:val="Plain"/>
              <w:bidi w:val="0"/>
              <w:spacing w:lineRule="exact" w:line="365"/>
              <w:jc w:val="start"/>
              <w:rPr/>
            </w:pPr>
            <w:r>
              <w:rPr/>
              <w:t>2</w:t>
            </w:r>
          </w:p>
        </w:tc>
      </w:tr>
      <w:tr>
        <w:trPr/>
        <w:tc>
          <w:tcPr>
            <w:tcW w:w="1440" w:type="dxa"/>
            <w:tcBorders>
              <w:bottom w:val="single" w:sz="2" w:space="0" w:color="CCCCCC"/>
            </w:tcBorders>
          </w:tcPr>
          <w:p>
            <w:pPr>
              <w:pStyle w:val="Plain"/>
              <w:bidi w:val="0"/>
              <w:spacing w:lineRule="exact" w:line="365"/>
              <w:jc w:val="start"/>
              <w:rPr/>
            </w:pPr>
            <w:r>
              <w:rPr/>
              <w:t>12</w:t>
            </w:r>
          </w:p>
        </w:tc>
        <w:tc>
          <w:tcPr>
            <w:tcW w:w="7056" w:type="dxa"/>
            <w:tcBorders>
              <w:bottom w:val="single" w:sz="2" w:space="0" w:color="CCCCCC"/>
            </w:tcBorders>
          </w:tcPr>
          <w:p>
            <w:pPr>
              <w:pStyle w:val="Plain"/>
              <w:bidi w:val="0"/>
              <w:spacing w:lineRule="exact" w:line="365"/>
              <w:jc w:val="start"/>
              <w:rPr/>
            </w:pPr>
            <w:r>
              <w:rPr/>
              <w:t>Reassembly complete: every removed part and every released fastener or attachment restored, or properly superseded by its replacement, per the documented restoration checklist. The sources make a new head gasket mandatory, but for the valve-cover gasket they describe inspection, reuse when serviceable, and sealant treatment. CP12 therefore requires a new head gasket (unchanged), and either a new valve-cover gasket or the original inspected and refitted with sealant as the manual describes. The earlier "both new" rule was a benchmark policy, not a manual requirement, and is withdrawn.</w:t>
            </w:r>
          </w:p>
        </w:tc>
        <w:tc>
          <w:tcPr>
            <w:tcW w:w="864" w:type="dxa"/>
            <w:tcBorders>
              <w:bottom w:val="single" w:sz="2" w:space="0" w:color="CCCCCC"/>
            </w:tcBorders>
          </w:tcPr>
          <w:p>
            <w:pPr>
              <w:pStyle w:val="Plain"/>
              <w:bidi w:val="0"/>
              <w:spacing w:lineRule="exact" w:line="365"/>
              <w:jc w:val="start"/>
              <w:rPr/>
            </w:pPr>
            <w:r>
              <w:rPr/>
              <w:t>2</w:t>
            </w:r>
          </w:p>
        </w:tc>
      </w:tr>
    </w:tbl>
    <w:p>
      <w:pPr>
        <w:pStyle w:val="Plain"/>
        <w:bidi w:val="0"/>
        <w:spacing w:lineRule="exact" w:line="365"/>
        <w:jc w:val="start"/>
        <w:rPr/>
      </w:pPr>
      <w:r>
        <w:rPr/>
        <w:t>Total available points: 18. Each checkpoint is binary, and all checkpoints remain applicable to every task. A correct normal-condition decision can pass a measurement checkpoint without replacing the part.</w:t>
      </w:r>
    </w:p>
    <w:p>
      <w:pPr>
        <w:sectPr>
          <w:type w:val="nextPage"/>
          <w:pgSz w:w="12240" w:h="15840"/>
          <w:pgMar w:left="1440" w:right="1440" w:gutter="0" w:header="0" w:top="1440" w:footer="0" w:bottom="1440"/>
          <w:pgNumType w:fmt="decimal"/>
          <w:formProt w:val="false"/>
          <w:textDirection w:val="lrTb"/>
          <w:docGrid w:type="default" w:linePitch="600" w:charSpace="32768"/>
        </w:sectPr>
        <w:pStyle w:val="SourceCitation"/>
        <w:keepLines/>
        <w:bidi w:val="0"/>
        <w:spacing w:lineRule="auto" w:line="276" w:before="0" w:after="58"/>
        <w:jc w:val="start"/>
        <w:rPr/>
      </w:pPr>
      <w:r>
        <w:rPr/>
        <w:t>The current amendments accept either documented loosening sequence, used consistently across all loosening passes, and withdraw the unconditional new cover-gasket policy. The new head gasket remains mandatory. Reassembly restores required components with legitimate replacement and waste dispositions. Final-state corrections may recover credit; chronological process violations and charges remain recorded. Historical commands and reports retain their original source versions.</w:t>
      </w:r>
    </w:p>
    <w:p>
      <w:pPr>
        <w:pStyle w:val="LandscapeFigureHeading"/>
        <w:bidi w:val="0"/>
        <w:jc w:val="start"/>
        <w:rPr/>
      </w:pPr>
      <w:r>
        <w:rPr/>
        <w:t>Appendix C. Engineering specifications — H01 to H05</w:t>
      </w:r>
    </w:p>
    <w:p>
      <w:pPr>
        <w:pStyle w:val="Plain"/>
        <w:bidi w:val="0"/>
        <w:spacing w:lineRule="exact" w:line="365"/>
        <w:jc w:val="start"/>
        <w:rPr/>
      </w:pPr>
      <w:r>
        <w:rPr/>
        <w:t>The complete specification table distinguishes public-source support from benchmark policy. The captured public workshop manual identifies its first edition as 9/91. Exact reconstructed-hardware applicability and later manual supplements remain unverified. Policy rows make no factory-value claim. Every source disagreement and row scope is retained below. The table records the earlier checkpoint amendment; the current requirement to use one chosen loosening sequence across all passes appears in the checkpoint table above. Full original fields, source URLs and implementation locators accompany the report.</w:t>
      </w:r>
    </w:p>
    <w:p>
      <w:pPr>
        <w:pStyle w:val="TableCaption"/>
        <w:keepNext w:val="true"/>
        <w:bidi w:val="0"/>
        <w:jc w:val="start"/>
        <w:rPr/>
      </w:pPr>
      <w:r>
        <w:rPr/>
        <w:t>Table 8. Appendix C. Engineering specifications — H01 to H05</w:t>
      </w:r>
    </w:p>
    <w:tbl>
      <w:tblPr>
        <w:tblW w:w="12960" w:type="dxa"/>
        <w:jc w:val="start"/>
        <w:tblInd w:w="0" w:type="dxa"/>
        <w:tblLayout w:type="fixed"/>
        <w:tblCellMar>
          <w:top w:w="58" w:type="dxa"/>
          <w:start w:w="58" w:type="dxa"/>
          <w:bottom w:w="58" w:type="dxa"/>
          <w:end w:w="58" w:type="dxa"/>
        </w:tblCellMar>
      </w:tblPr>
      <w:tblGrid>
        <w:gridCol w:w="2160"/>
        <w:gridCol w:w="3600"/>
        <w:gridCol w:w="3600"/>
        <w:gridCol w:w="3600"/>
      </w:tblGrid>
      <w:tr>
        <w:trPr/>
        <w:tc>
          <w:tcPr>
            <w:tcW w:w="2160" w:type="dxa"/>
            <w:tcBorders>
              <w:bottom w:val="single" w:sz="2" w:space="0" w:color="CCCCCC"/>
            </w:tcBorders>
          </w:tcPr>
          <w:p>
            <w:pPr>
              <w:pStyle w:val="CompactTableText"/>
              <w:bidi w:val="0"/>
              <w:spacing w:lineRule="auto" w:line="264" w:before="0" w:after="43"/>
              <w:jc w:val="start"/>
              <w:rPr/>
            </w:pPr>
            <w:r>
              <w:rPr>
                <w:rStyle w:val="Tb"/>
              </w:rPr>
              <w:t>Specification</w:t>
            </w:r>
          </w:p>
        </w:tc>
        <w:tc>
          <w:tcPr>
            <w:tcW w:w="3600" w:type="dxa"/>
            <w:tcBorders>
              <w:bottom w:val="single" w:sz="2" w:space="0" w:color="CCCCCC"/>
            </w:tcBorders>
          </w:tcPr>
          <w:p>
            <w:pPr>
              <w:pStyle w:val="CompactTableText"/>
              <w:bidi w:val="0"/>
              <w:spacing w:lineRule="auto" w:line="264" w:before="0" w:after="43"/>
              <w:jc w:val="start"/>
              <w:rPr/>
            </w:pPr>
            <w:r>
              <w:rPr>
                <w:rStyle w:val="Tb"/>
              </w:rPr>
              <w:t>Benchmark value and scope</w:t>
            </w:r>
          </w:p>
        </w:tc>
        <w:tc>
          <w:tcPr>
            <w:tcW w:w="3600" w:type="dxa"/>
            <w:tcBorders>
              <w:bottom w:val="single" w:sz="2" w:space="0" w:color="CCCCCC"/>
            </w:tcBorders>
          </w:tcPr>
          <w:p>
            <w:pPr>
              <w:pStyle w:val="CompactTableText"/>
              <w:bidi w:val="0"/>
              <w:spacing w:lineRule="auto" w:line="264" w:before="0" w:after="43"/>
              <w:jc w:val="start"/>
              <w:rPr/>
            </w:pPr>
            <w:r>
              <w:rPr>
                <w:rStyle w:val="Tb"/>
              </w:rPr>
              <w:t>Basis and public-source value</w:t>
            </w:r>
          </w:p>
        </w:tc>
        <w:tc>
          <w:tcPr>
            <w:tcW w:w="3600" w:type="dxa"/>
            <w:tcBorders>
              <w:bottom w:val="single" w:sz="2" w:space="0" w:color="CCCCCC"/>
            </w:tcBorders>
          </w:tcPr>
          <w:p>
            <w:pPr>
              <w:pStyle w:val="CompactTableText"/>
              <w:bidi w:val="0"/>
              <w:spacing w:lineRule="auto" w:line="264" w:before="0" w:after="43"/>
              <w:jc w:val="start"/>
              <w:rPr/>
            </w:pPr>
            <w:r>
              <w:rPr>
                <w:rStyle w:val="Tb"/>
              </w:rPr>
              <w:t>Selection and disagreement or limit</w:t>
            </w:r>
          </w:p>
        </w:tc>
      </w:tr>
      <w:tr>
        <w:trPr/>
        <w:tc>
          <w:tcPr>
            <w:tcW w:w="2160" w:type="dxa"/>
            <w:tcBorders>
              <w:bottom w:val="single" w:sz="2" w:space="0" w:color="CCCCCC"/>
            </w:tcBorders>
          </w:tcPr>
          <w:p>
            <w:pPr>
              <w:pStyle w:val="CompactTableText"/>
              <w:bidi w:val="0"/>
              <w:spacing w:lineRule="auto" w:line="264" w:before="0" w:after="43"/>
              <w:jc w:val="start"/>
              <w:rPr/>
            </w:pPr>
            <w:r>
              <w:rPr/>
              <w:t>H01: First complete torque pass</w:t>
            </w:r>
          </w:p>
        </w:tc>
        <w:tc>
          <w:tcPr>
            <w:tcW w:w="3600" w:type="dxa"/>
            <w:tcBorders>
              <w:bottom w:val="single" w:sz="2" w:space="0" w:color="CCCCCC"/>
            </w:tcBorders>
          </w:tcPr>
          <w:p>
            <w:pPr>
              <w:pStyle w:val="CompactTableText"/>
              <w:bidi w:val="0"/>
              <w:spacing w:lineRule="auto" w:line="264" w:before="0" w:after="43"/>
              <w:jc w:val="start"/>
              <w:rPr/>
            </w:pPr>
            <w:r>
              <w:rPr/>
              <w:t>30 N m; active benchmark</w:t>
            </w:r>
          </w:p>
        </w:tc>
        <w:tc>
          <w:tcPr>
            <w:tcW w:w="3600" w:type="dxa"/>
            <w:tcBorders>
              <w:bottom w:val="single" w:sz="2" w:space="0" w:color="CCCCCC"/>
            </w:tcBorders>
          </w:tcPr>
          <w:p>
            <w:pPr>
              <w:pStyle w:val="CompactTableText"/>
              <w:bidi w:val="0"/>
              <w:spacing w:lineRule="auto" w:line="264" w:before="0" w:after="43"/>
              <w:jc w:val="start"/>
              <w:rPr/>
            </w:pPr>
            <w:r>
              <w:rPr/>
              <w:t>public source-supported; M|S2; 30; M 6-54; S2 torque steps</w:t>
            </w:r>
          </w:p>
        </w:tc>
        <w:tc>
          <w:tcPr>
            <w:tcW w:w="3600" w:type="dxa"/>
            <w:tcBorders>
              <w:bottom w:val="single" w:sz="2" w:space="0" w:color="CCCCCC"/>
            </w:tcBorders>
          </w:tcPr>
          <w:p>
            <w:pPr>
              <w:pStyle w:val="CompactTableText"/>
              <w:bidi w:val="0"/>
              <w:spacing w:lineRule="auto" w:line="264" w:before="0" w:after="43"/>
              <w:jc w:val="start"/>
              <w:rPr/>
            </w:pPr>
            <w:r>
              <w:rPr/>
              <w:t>Selected two-stage related-application procedure</w:t>
            </w:r>
          </w:p>
        </w:tc>
      </w:tr>
      <w:tr>
        <w:trPr/>
        <w:tc>
          <w:tcPr>
            <w:tcW w:w="2160" w:type="dxa"/>
            <w:tcBorders>
              <w:bottom w:val="single" w:sz="2" w:space="0" w:color="CCCCCC"/>
            </w:tcBorders>
          </w:tcPr>
          <w:p>
            <w:pPr>
              <w:pStyle w:val="CompactTableText"/>
              <w:bidi w:val="0"/>
              <w:spacing w:lineRule="auto" w:line="264" w:before="0" w:after="43"/>
              <w:jc w:val="start"/>
              <w:rPr/>
            </w:pPr>
            <w:r>
              <w:rPr/>
              <w:t>H02: Final complete torque pass</w:t>
            </w:r>
          </w:p>
        </w:tc>
        <w:tc>
          <w:tcPr>
            <w:tcW w:w="3600" w:type="dxa"/>
            <w:tcBorders>
              <w:bottom w:val="single" w:sz="2" w:space="0" w:color="CCCCCC"/>
            </w:tcBorders>
          </w:tcPr>
          <w:p>
            <w:pPr>
              <w:pStyle w:val="CompactTableText"/>
              <w:bidi w:val="0"/>
              <w:spacing w:lineRule="auto" w:line="264" w:before="0" w:after="43"/>
              <w:jc w:val="start"/>
              <w:rPr/>
            </w:pPr>
            <w:r>
              <w:rPr/>
              <w:t>73 N m; active benchmark</w:t>
            </w:r>
          </w:p>
        </w:tc>
        <w:tc>
          <w:tcPr>
            <w:tcW w:w="3600" w:type="dxa"/>
            <w:tcBorders>
              <w:bottom w:val="single" w:sz="2" w:space="0" w:color="CCCCCC"/>
            </w:tcBorders>
          </w:tcPr>
          <w:p>
            <w:pPr>
              <w:pStyle w:val="CompactTableText"/>
              <w:bidi w:val="0"/>
              <w:spacing w:lineRule="auto" w:line="264" w:before="0" w:after="43"/>
              <w:jc w:val="start"/>
              <w:rPr/>
            </w:pPr>
            <w:r>
              <w:rPr/>
              <w:t>public source-supported; M|S2; 73; M 6-54; S2 torque steps</w:t>
            </w:r>
          </w:p>
        </w:tc>
        <w:tc>
          <w:tcPr>
            <w:tcW w:w="3600" w:type="dxa"/>
            <w:tcBorders>
              <w:bottom w:val="single" w:sz="2" w:space="0" w:color="CCCCCC"/>
            </w:tcBorders>
          </w:tcPr>
          <w:p>
            <w:pPr>
              <w:pStyle w:val="CompactTableText"/>
              <w:bidi w:val="0"/>
              <w:spacing w:lineRule="auto" w:line="264" w:before="0" w:after="43"/>
              <w:jc w:val="start"/>
              <w:rPr/>
            </w:pPr>
            <w:r>
              <w:rPr/>
              <w:t>Retain matching workshop and fastener-sheet value S1 related article converts final torque to72 Nm; other engine variants use different procedures.</w:t>
            </w:r>
          </w:p>
        </w:tc>
      </w:tr>
      <w:tr>
        <w:trPr/>
        <w:tc>
          <w:tcPr>
            <w:tcW w:w="2160" w:type="dxa"/>
            <w:tcBorders>
              <w:bottom w:val="single" w:sz="2" w:space="0" w:color="CCCCCC"/>
            </w:tcBorders>
          </w:tcPr>
          <w:p>
            <w:pPr>
              <w:pStyle w:val="CompactTableText"/>
              <w:bidi w:val="0"/>
              <w:spacing w:lineRule="auto" w:line="264" w:before="0" w:after="43"/>
              <w:jc w:val="start"/>
              <w:rPr/>
            </w:pPr>
            <w:r>
              <w:rPr/>
              <w:t>H03: Tightening stages</w:t>
            </w:r>
          </w:p>
        </w:tc>
        <w:tc>
          <w:tcPr>
            <w:tcW w:w="3600" w:type="dxa"/>
            <w:tcBorders>
              <w:bottom w:val="single" w:sz="2" w:space="0" w:color="CCCCCC"/>
            </w:tcBorders>
          </w:tcPr>
          <w:p>
            <w:pPr>
              <w:pStyle w:val="CompactTableText"/>
              <w:bidi w:val="0"/>
              <w:spacing w:lineRule="auto" w:line="264" w:before="0" w:after="43"/>
              <w:jc w:val="start"/>
              <w:rPr/>
            </w:pPr>
            <w:r>
              <w:rPr/>
              <w:t>2 complete passes; active benchmark</w:t>
            </w:r>
          </w:p>
        </w:tc>
        <w:tc>
          <w:tcPr>
            <w:tcW w:w="3600" w:type="dxa"/>
            <w:tcBorders>
              <w:bottom w:val="single" w:sz="2" w:space="0" w:color="CCCCCC"/>
            </w:tcBorders>
          </w:tcPr>
          <w:p>
            <w:pPr>
              <w:pStyle w:val="CompactTableText"/>
              <w:bidi w:val="0"/>
              <w:spacing w:lineRule="auto" w:line="264" w:before="0" w:after="43"/>
              <w:jc w:val="start"/>
              <w:rPr/>
            </w:pPr>
            <w:r>
              <w:rPr/>
              <w:t>public source-supported; M|S2; 30 then73; M 6-54; S2 steps</w:t>
            </w:r>
          </w:p>
        </w:tc>
        <w:tc>
          <w:tcPr>
            <w:tcW w:w="3600" w:type="dxa"/>
            <w:tcBorders>
              <w:bottom w:val="single" w:sz="2" w:space="0" w:color="CCCCCC"/>
            </w:tcBorders>
          </w:tcPr>
          <w:p>
            <w:pPr>
              <w:pStyle w:val="CompactTableText"/>
              <w:bidi w:val="0"/>
              <w:spacing w:lineRule="auto" w:line="264" w:before="0" w:after="43"/>
              <w:jc w:val="start"/>
              <w:rPr/>
            </w:pPr>
            <w:r>
              <w:rPr/>
              <w:t>Each pass completes all ten positions before the next This is installation stage2, not later thermal-service retorque.</w:t>
            </w:r>
          </w:p>
        </w:tc>
      </w:tr>
      <w:tr>
        <w:trPr/>
        <w:tc>
          <w:tcPr>
            <w:tcW w:w="2160" w:type="dxa"/>
            <w:tcBorders>
              <w:bottom w:val="single" w:sz="2" w:space="0" w:color="CCCCCC"/>
            </w:tcBorders>
          </w:tcPr>
          <w:p>
            <w:pPr>
              <w:pStyle w:val="CompactTableText"/>
              <w:bidi w:val="0"/>
              <w:spacing w:lineRule="auto" w:line="264" w:before="0" w:after="43"/>
              <w:jc w:val="start"/>
              <w:rPr/>
            </w:pPr>
            <w:r>
              <w:rPr/>
              <w:t>H04: Number of service positions</w:t>
            </w:r>
          </w:p>
        </w:tc>
        <w:tc>
          <w:tcPr>
            <w:tcW w:w="3600" w:type="dxa"/>
            <w:tcBorders>
              <w:bottom w:val="single" w:sz="2" w:space="0" w:color="CCCCCC"/>
            </w:tcBorders>
          </w:tcPr>
          <w:p>
            <w:pPr>
              <w:pStyle w:val="CompactTableText"/>
              <w:bidi w:val="0"/>
              <w:spacing w:lineRule="auto" w:line="264" w:before="0" w:after="43"/>
              <w:jc w:val="start"/>
              <w:rPr/>
            </w:pPr>
            <w:r>
              <w:rPr/>
              <w:t>10 bolts; active benchmark</w:t>
            </w:r>
          </w:p>
        </w:tc>
        <w:tc>
          <w:tcPr>
            <w:tcW w:w="3600" w:type="dxa"/>
            <w:tcBorders>
              <w:bottom w:val="single" w:sz="2" w:space="0" w:color="CCCCCC"/>
            </w:tcBorders>
          </w:tcPr>
          <w:p>
            <w:pPr>
              <w:pStyle w:val="CompactTableText"/>
              <w:bidi w:val="0"/>
              <w:spacing w:lineRule="auto" w:line="264" w:before="0" w:after="43"/>
              <w:jc w:val="start"/>
              <w:rPr/>
            </w:pPr>
            <w:r>
              <w:rPr/>
              <w:t>public source-supported; M|S2; 10; Head torque diagram</w:t>
            </w:r>
          </w:p>
        </w:tc>
        <w:tc>
          <w:tcPr>
            <w:tcW w:w="3600" w:type="dxa"/>
            <w:tcBorders>
              <w:bottom w:val="single" w:sz="2" w:space="0" w:color="CCCCCC"/>
            </w:tcBorders>
          </w:tcPr>
          <w:p>
            <w:pPr>
              <w:pStyle w:val="CompactTableText"/>
              <w:bidi w:val="0"/>
              <w:spacing w:lineRule="auto" w:line="264" w:before="0" w:after="43"/>
              <w:jc w:val="start"/>
              <w:rPr/>
            </w:pPr>
            <w:r>
              <w:rPr/>
              <w:t>Selected service layout</w:t>
            </w:r>
          </w:p>
        </w:tc>
      </w:tr>
      <w:tr>
        <w:trPr/>
        <w:tc>
          <w:tcPr>
            <w:tcW w:w="2160" w:type="dxa"/>
            <w:tcBorders>
              <w:bottom w:val="single" w:sz="2" w:space="0" w:color="CCCCCC"/>
            </w:tcBorders>
          </w:tcPr>
          <w:p>
            <w:pPr>
              <w:pStyle w:val="CompactTableText"/>
              <w:bidi w:val="0"/>
              <w:spacing w:lineRule="auto" w:line="264" w:before="0" w:after="43"/>
              <w:jc w:val="start"/>
              <w:rPr/>
            </w:pPr>
            <w:r>
              <w:rPr/>
              <w:t>H05: Tightening position order</w:t>
            </w:r>
          </w:p>
        </w:tc>
        <w:tc>
          <w:tcPr>
            <w:tcW w:w="3600" w:type="dxa"/>
            <w:tcBorders>
              <w:bottom w:val="single" w:sz="2" w:space="0" w:color="CCCCCC"/>
            </w:tcBorders>
          </w:tcPr>
          <w:p>
            <w:pPr>
              <w:pStyle w:val="CompactTableText"/>
              <w:bidi w:val="0"/>
              <w:spacing w:lineRule="auto" w:line="264" w:before="0" w:after="43"/>
              <w:jc w:val="start"/>
              <w:rPr/>
            </w:pPr>
            <w:r>
              <w:rPr/>
              <w:t>1,2,3,4,5,6,7,8,9,10 position sequence; active benchmark</w:t>
            </w:r>
          </w:p>
        </w:tc>
        <w:tc>
          <w:tcPr>
            <w:tcW w:w="3600" w:type="dxa"/>
            <w:tcBorders>
              <w:bottom w:val="single" w:sz="2" w:space="0" w:color="CCCCCC"/>
            </w:tcBorders>
          </w:tcPr>
          <w:p>
            <w:pPr>
              <w:pStyle w:val="CompactTableText"/>
              <w:bidi w:val="0"/>
              <w:spacing w:lineRule="auto" w:line="264" w:before="0" w:after="43"/>
              <w:jc w:val="start"/>
              <w:rPr/>
            </w:pPr>
            <w:r>
              <w:rPr/>
              <w:t>public source-supported; S2; ascending numbered positions; Torque-order diagram</w:t>
            </w:r>
          </w:p>
        </w:tc>
        <w:tc>
          <w:tcPr>
            <w:tcW w:w="3600" w:type="dxa"/>
            <w:tcBorders>
              <w:bottom w:val="single" w:sz="2" w:space="0" w:color="CCCCCC"/>
            </w:tcBorders>
          </w:tcPr>
          <w:p>
            <w:pPr>
              <w:pStyle w:val="CompactTableText"/>
              <w:bidi w:val="0"/>
              <w:spacing w:lineRule="auto" w:line="264" w:before="0" w:after="43"/>
              <w:jc w:val="start"/>
              <w:rPr/>
            </w:pPr>
            <w:r>
              <w:rPr/>
              <w:t>Diagram numbering controls sequence</w:t>
            </w:r>
          </w:p>
        </w:tc>
      </w:tr>
    </w:tbl>
    <w:p>
      <w:pPr>
        <w:pStyle w:val="LandscapeFigureHeading"/>
        <w:bidi w:val="0"/>
        <w:jc w:val="start"/>
        <w:rPr/>
      </w:pPr>
      <w:r>
        <w:rPr/>
        <w:t>Appendix C. Engineering specifications — H06 to H10</w:t>
      </w:r>
    </w:p>
    <w:p>
      <w:pPr>
        <w:pStyle w:val="TableCaption"/>
        <w:keepNext w:val="true"/>
        <w:bidi w:val="0"/>
        <w:jc w:val="start"/>
        <w:rPr/>
      </w:pPr>
      <w:r>
        <w:rPr/>
        <w:t>Table 9. Appendix C. Engineering specifications — H06 to H10</w:t>
      </w:r>
    </w:p>
    <w:tbl>
      <w:tblPr>
        <w:tblW w:w="12960" w:type="dxa"/>
        <w:jc w:val="start"/>
        <w:tblInd w:w="0" w:type="dxa"/>
        <w:tblLayout w:type="fixed"/>
        <w:tblCellMar>
          <w:top w:w="58" w:type="dxa"/>
          <w:start w:w="58" w:type="dxa"/>
          <w:bottom w:w="58" w:type="dxa"/>
          <w:end w:w="58" w:type="dxa"/>
        </w:tblCellMar>
      </w:tblPr>
      <w:tblGrid>
        <w:gridCol w:w="2160"/>
        <w:gridCol w:w="3600"/>
        <w:gridCol w:w="3600"/>
        <w:gridCol w:w="3600"/>
      </w:tblGrid>
      <w:tr>
        <w:trPr/>
        <w:tc>
          <w:tcPr>
            <w:tcW w:w="2160" w:type="dxa"/>
            <w:tcBorders>
              <w:bottom w:val="single" w:sz="2" w:space="0" w:color="CCCCCC"/>
            </w:tcBorders>
          </w:tcPr>
          <w:p>
            <w:pPr>
              <w:pStyle w:val="CompactTableText"/>
              <w:bidi w:val="0"/>
              <w:spacing w:lineRule="auto" w:line="264" w:before="0" w:after="43"/>
              <w:jc w:val="start"/>
              <w:rPr/>
            </w:pPr>
            <w:r>
              <w:rPr>
                <w:rStyle w:val="Tb"/>
              </w:rPr>
              <w:t>Specification</w:t>
            </w:r>
          </w:p>
        </w:tc>
        <w:tc>
          <w:tcPr>
            <w:tcW w:w="3600" w:type="dxa"/>
            <w:tcBorders>
              <w:bottom w:val="single" w:sz="2" w:space="0" w:color="CCCCCC"/>
            </w:tcBorders>
          </w:tcPr>
          <w:p>
            <w:pPr>
              <w:pStyle w:val="CompactTableText"/>
              <w:bidi w:val="0"/>
              <w:spacing w:lineRule="auto" w:line="264" w:before="0" w:after="43"/>
              <w:jc w:val="start"/>
              <w:rPr/>
            </w:pPr>
            <w:r>
              <w:rPr>
                <w:rStyle w:val="Tb"/>
              </w:rPr>
              <w:t>Benchmark value and scope</w:t>
            </w:r>
          </w:p>
        </w:tc>
        <w:tc>
          <w:tcPr>
            <w:tcW w:w="3600" w:type="dxa"/>
            <w:tcBorders>
              <w:bottom w:val="single" w:sz="2" w:space="0" w:color="CCCCCC"/>
            </w:tcBorders>
          </w:tcPr>
          <w:p>
            <w:pPr>
              <w:pStyle w:val="CompactTableText"/>
              <w:bidi w:val="0"/>
              <w:spacing w:lineRule="auto" w:line="264" w:before="0" w:after="43"/>
              <w:jc w:val="start"/>
              <w:rPr/>
            </w:pPr>
            <w:r>
              <w:rPr>
                <w:rStyle w:val="Tb"/>
              </w:rPr>
              <w:t>Basis and public-source value</w:t>
            </w:r>
          </w:p>
        </w:tc>
        <w:tc>
          <w:tcPr>
            <w:tcW w:w="3600" w:type="dxa"/>
            <w:tcBorders>
              <w:bottom w:val="single" w:sz="2" w:space="0" w:color="CCCCCC"/>
            </w:tcBorders>
          </w:tcPr>
          <w:p>
            <w:pPr>
              <w:pStyle w:val="CompactTableText"/>
              <w:bidi w:val="0"/>
              <w:spacing w:lineRule="auto" w:line="264" w:before="0" w:after="43"/>
              <w:jc w:val="start"/>
              <w:rPr/>
            </w:pPr>
            <w:r>
              <w:rPr>
                <w:rStyle w:val="Tb"/>
              </w:rPr>
              <w:t>Selection and disagreement or limit</w:t>
            </w:r>
          </w:p>
        </w:tc>
      </w:tr>
      <w:tr>
        <w:trPr/>
        <w:tc>
          <w:tcPr>
            <w:tcW w:w="2160" w:type="dxa"/>
            <w:tcBorders>
              <w:bottom w:val="single" w:sz="2" w:space="0" w:color="CCCCCC"/>
            </w:tcBorders>
          </w:tcPr>
          <w:p>
            <w:pPr>
              <w:pStyle w:val="CompactTableText"/>
              <w:bidi w:val="0"/>
              <w:spacing w:lineRule="auto" w:line="264" w:before="0" w:after="43"/>
              <w:jc w:val="start"/>
              <w:rPr/>
            </w:pPr>
            <w:r>
              <w:rPr/>
              <w:t>H06: Diagram row layout</w:t>
            </w:r>
          </w:p>
        </w:tc>
        <w:tc>
          <w:tcPr>
            <w:tcW w:w="3600" w:type="dxa"/>
            <w:tcBorders>
              <w:bottom w:val="single" w:sz="2" w:space="0" w:color="CCCCCC"/>
            </w:tcBorders>
          </w:tcPr>
          <w:p>
            <w:pPr>
              <w:pStyle w:val="CompactTableText"/>
              <w:bidi w:val="0"/>
              <w:spacing w:lineRule="auto" w:line="264" w:before="0" w:after="43"/>
              <w:jc w:val="start"/>
              <w:rPr/>
            </w:pPr>
            <w:r>
              <w:rPr/>
              <w:t>upper:8,6,2,4,10; lower:9,3,1,5,7 positions; active benchmark</w:t>
            </w:r>
          </w:p>
        </w:tc>
        <w:tc>
          <w:tcPr>
            <w:tcW w:w="3600" w:type="dxa"/>
            <w:tcBorders>
              <w:bottom w:val="single" w:sz="2" w:space="0" w:color="CCCCCC"/>
            </w:tcBorders>
          </w:tcPr>
          <w:p>
            <w:pPr>
              <w:pStyle w:val="CompactTableText"/>
              <w:bidi w:val="0"/>
              <w:spacing w:lineRule="auto" w:line="264" w:before="0" w:after="43"/>
              <w:jc w:val="start"/>
              <w:rPr/>
            </w:pPr>
            <w:r>
              <w:rPr/>
              <w:t>public source-supported; S2; same two rows; Torque-order diagram</w:t>
            </w:r>
          </w:p>
        </w:tc>
        <w:tc>
          <w:tcPr>
            <w:tcW w:w="3600" w:type="dxa"/>
            <w:tcBorders>
              <w:bottom w:val="single" w:sz="2" w:space="0" w:color="CCCCCC"/>
            </w:tcBorders>
          </w:tcPr>
          <w:p>
            <w:pPr>
              <w:pStyle w:val="CompactTableText"/>
              <w:bidi w:val="0"/>
              <w:spacing w:lineRule="auto" w:line="264" w:before="0" w:after="43"/>
              <w:jc w:val="start"/>
              <w:rPr/>
            </w:pPr>
            <w:r>
              <w:rPr/>
              <w:t>Related diagram numbering Mapping diagram upper/left to runtime +Y/+X is benchmark coordinate convention; exact CAD landmark correspondence remains unverified.</w:t>
            </w:r>
          </w:p>
        </w:tc>
      </w:tr>
      <w:tr>
        <w:trPr/>
        <w:tc>
          <w:tcPr>
            <w:tcW w:w="2160" w:type="dxa"/>
            <w:tcBorders>
              <w:bottom w:val="single" w:sz="2" w:space="0" w:color="CCCCCC"/>
            </w:tcBorders>
          </w:tcPr>
          <w:p>
            <w:pPr>
              <w:pStyle w:val="CompactTableText"/>
              <w:bidi w:val="0"/>
              <w:spacing w:lineRule="auto" w:line="264" w:before="0" w:after="43"/>
              <w:jc w:val="start"/>
              <w:rPr/>
            </w:pPr>
            <w:r>
              <w:rPr/>
              <w:t>H07: Retained scripted loosening order</w:t>
            </w:r>
          </w:p>
        </w:tc>
        <w:tc>
          <w:tcPr>
            <w:tcW w:w="3600" w:type="dxa"/>
            <w:tcBorders>
              <w:bottom w:val="single" w:sz="2" w:space="0" w:color="CCCCCC"/>
            </w:tcBorders>
          </w:tcPr>
          <w:p>
            <w:pPr>
              <w:pStyle w:val="CompactTableText"/>
              <w:bidi w:val="0"/>
              <w:spacing w:lineRule="auto" w:line="264" w:before="0" w:after="43"/>
              <w:jc w:val="start"/>
              <w:rPr/>
            </w:pPr>
            <w:r>
              <w:rPr/>
              <w:t>10,9,8,7,6,5,4,3,2,1 position sequence; retained scripted reference; current acceptance listed in H24</w:t>
            </w:r>
          </w:p>
        </w:tc>
        <w:tc>
          <w:tcPr>
            <w:tcW w:w="3600" w:type="dxa"/>
            <w:tcBorders>
              <w:bottom w:val="single" w:sz="2" w:space="0" w:color="CCCCCC"/>
            </w:tcBorders>
          </w:tcPr>
          <w:p>
            <w:pPr>
              <w:pStyle w:val="CompactTableText"/>
              <w:bidi w:val="0"/>
              <w:spacing w:lineRule="auto" w:line="264" w:before="0" w:after="43"/>
              <w:jc w:val="start"/>
              <w:rPr/>
            </w:pPr>
            <w:r>
              <w:rPr/>
              <w:t>benchmark policy choice; S1|M; S1 reverse instruction; M diagram differs at two lower-row positions; S1 head-removal prose; M 6-30 and6-54 diagrams</w:t>
            </w:r>
          </w:p>
        </w:tc>
        <w:tc>
          <w:tcPr>
            <w:tcW w:w="3600" w:type="dxa"/>
            <w:tcBorders>
              <w:bottom w:val="single" w:sz="2" w:space="0" w:color="CCCCCC"/>
            </w:tcBorders>
          </w:tcPr>
          <w:p>
            <w:pPr>
              <w:pStyle w:val="CompactTableText"/>
              <w:bidi w:val="0"/>
              <w:spacing w:lineRule="auto" w:line="264" w:before="0" w:after="43"/>
              <w:jc w:val="start"/>
              <w:rPr/>
            </w:pPr>
            <w:r>
              <w:rPr/>
              <w:t>Preserve the exact recorded reference; Amendment 1 also admits the M diagram order M loosening upper:3,5,9,7,1; lower:2,6,10,8,4. This recorded reference is not the only accepted CP04 sequence.</w:t>
            </w:r>
          </w:p>
        </w:tc>
      </w:tr>
      <w:tr>
        <w:trPr/>
        <w:tc>
          <w:tcPr>
            <w:tcW w:w="2160" w:type="dxa"/>
            <w:tcBorders>
              <w:bottom w:val="single" w:sz="2" w:space="0" w:color="CCCCCC"/>
            </w:tcBorders>
          </w:tcPr>
          <w:p>
            <w:pPr>
              <w:pStyle w:val="CompactTableText"/>
              <w:bidi w:val="0"/>
              <w:spacing w:lineRule="auto" w:line="264" w:before="0" w:after="43"/>
              <w:jc w:val="start"/>
              <w:rPr/>
            </w:pPr>
            <w:r>
              <w:rPr/>
              <w:t>H08: Loosening increment</w:t>
            </w:r>
          </w:p>
        </w:tc>
        <w:tc>
          <w:tcPr>
            <w:tcW w:w="3600" w:type="dxa"/>
            <w:tcBorders>
              <w:bottom w:val="single" w:sz="2" w:space="0" w:color="CCCCCC"/>
            </w:tcBorders>
          </w:tcPr>
          <w:p>
            <w:pPr>
              <w:pStyle w:val="CompactTableText"/>
              <w:bidi w:val="0"/>
              <w:spacing w:lineRule="auto" w:line="264" w:before="0" w:after="43"/>
              <w:jc w:val="start"/>
              <w:rPr/>
            </w:pPr>
            <w:r>
              <w:rPr/>
              <w:t>-120 degrees/bolt/pass; active benchmark</w:t>
            </w:r>
          </w:p>
        </w:tc>
        <w:tc>
          <w:tcPr>
            <w:tcW w:w="3600" w:type="dxa"/>
            <w:tcBorders>
              <w:bottom w:val="single" w:sz="2" w:space="0" w:color="CCCCCC"/>
            </w:tcBorders>
          </w:tcPr>
          <w:p>
            <w:pPr>
              <w:pStyle w:val="CompactTableText"/>
              <w:bidi w:val="0"/>
              <w:spacing w:lineRule="auto" w:line="264" w:before="0" w:after="43"/>
              <w:jc w:val="start"/>
              <w:rPr/>
            </w:pPr>
            <w:r>
              <w:rPr/>
              <w:t>public source-supported; M|S1; one-third turn each pass; M 6-30; S1 printed page16</w:t>
            </w:r>
          </w:p>
        </w:tc>
        <w:tc>
          <w:tcPr>
            <w:tcW w:w="3600" w:type="dxa"/>
            <w:tcBorders>
              <w:bottom w:val="single" w:sz="2" w:space="0" w:color="CCCCCC"/>
            </w:tcBorders>
          </w:tcPr>
          <w:p>
            <w:pPr>
              <w:pStyle w:val="CompactTableText"/>
              <w:bidi w:val="0"/>
              <w:spacing w:lineRule="auto" w:line="264" w:before="0" w:after="43"/>
              <w:jc w:val="start"/>
              <w:rPr/>
            </w:pPr>
            <w:r>
              <w:rPr/>
              <w:t>Negative API angle denotes loosening Fixed number of passes follows software engagement, not physical thread length.</w:t>
            </w:r>
          </w:p>
        </w:tc>
      </w:tr>
      <w:tr>
        <w:trPr/>
        <w:tc>
          <w:tcPr>
            <w:tcW w:w="2160" w:type="dxa"/>
            <w:tcBorders>
              <w:bottom w:val="single" w:sz="2" w:space="0" w:color="CCCCCC"/>
            </w:tcBorders>
          </w:tcPr>
          <w:p>
            <w:pPr>
              <w:pStyle w:val="CompactTableText"/>
              <w:bidi w:val="0"/>
              <w:spacing w:lineRule="auto" w:line="264" w:before="0" w:after="43"/>
              <w:jc w:val="start"/>
              <w:rPr/>
            </w:pPr>
            <w:r>
              <w:rPr/>
              <w:t>H09: Scripted initial engagement</w:t>
            </w:r>
          </w:p>
        </w:tc>
        <w:tc>
          <w:tcPr>
            <w:tcW w:w="3600" w:type="dxa"/>
            <w:tcBorders>
              <w:bottom w:val="single" w:sz="2" w:space="0" w:color="CCCCCC"/>
            </w:tcBorders>
          </w:tcPr>
          <w:p>
            <w:pPr>
              <w:pStyle w:val="CompactTableText"/>
              <w:bidi w:val="0"/>
              <w:spacing w:lineRule="auto" w:line="264" w:before="0" w:after="43"/>
              <w:jc w:val="start"/>
              <w:rPr/>
            </w:pPr>
            <w:r>
              <w:rPr/>
              <w:t>1 turn; active benchmark</w:t>
            </w:r>
          </w:p>
        </w:tc>
        <w:tc>
          <w:tcPr>
            <w:tcW w:w="3600" w:type="dxa"/>
            <w:tcBorders>
              <w:bottom w:val="single" w:sz="2" w:space="0" w:color="CCCCCC"/>
            </w:tcBorders>
          </w:tcPr>
          <w:p>
            <w:pPr>
              <w:pStyle w:val="CompactTableText"/>
              <w:bidi w:val="0"/>
              <w:spacing w:lineRule="auto" w:line="264" w:before="0" w:after="43"/>
              <w:jc w:val="start"/>
              <w:rPr/>
            </w:pPr>
            <w:r>
              <w:rPr/>
              <w:t>benchmark policy choice</w:t>
            </w:r>
          </w:p>
        </w:tc>
        <w:tc>
          <w:tcPr>
            <w:tcW w:w="3600" w:type="dxa"/>
            <w:tcBorders>
              <w:bottom w:val="single" w:sz="2" w:space="0" w:color="CCCCCC"/>
            </w:tcBorders>
          </w:tcPr>
          <w:p>
            <w:pPr>
              <w:pStyle w:val="CompactTableText"/>
              <w:bidi w:val="0"/>
              <w:spacing w:lineRule="auto" w:line="264" w:before="0" w:after="43"/>
              <w:jc w:val="start"/>
              <w:rPr/>
            </w:pPr>
            <w:r>
              <w:rPr/>
              <w:t>Finite procedural disengagement state Not derived from140 mm nominal bolt length.</w:t>
            </w:r>
          </w:p>
        </w:tc>
      </w:tr>
      <w:tr>
        <w:trPr/>
        <w:tc>
          <w:tcPr>
            <w:tcW w:w="2160" w:type="dxa"/>
            <w:tcBorders>
              <w:bottom w:val="single" w:sz="2" w:space="0" w:color="CCCCCC"/>
            </w:tcBorders>
          </w:tcPr>
          <w:p>
            <w:pPr>
              <w:pStyle w:val="CompactTableText"/>
              <w:bidi w:val="0"/>
              <w:spacing w:lineRule="auto" w:line="264" w:before="0" w:after="43"/>
              <w:jc w:val="start"/>
              <w:rPr/>
            </w:pPr>
            <w:r>
              <w:rPr/>
              <w:t>H10: Initial reference loosening passes</w:t>
            </w:r>
          </w:p>
        </w:tc>
        <w:tc>
          <w:tcPr>
            <w:tcW w:w="3600" w:type="dxa"/>
            <w:tcBorders>
              <w:bottom w:val="single" w:sz="2" w:space="0" w:color="CCCCCC"/>
            </w:tcBorders>
          </w:tcPr>
          <w:p>
            <w:pPr>
              <w:pStyle w:val="CompactTableText"/>
              <w:bidi w:val="0"/>
              <w:spacing w:lineRule="auto" w:line="264" w:before="0" w:after="43"/>
              <w:jc w:val="start"/>
              <w:rPr/>
            </w:pPr>
            <w:r>
              <w:rPr/>
              <w:t>3 passes; active benchmark</w:t>
            </w:r>
          </w:p>
        </w:tc>
        <w:tc>
          <w:tcPr>
            <w:tcW w:w="3600" w:type="dxa"/>
            <w:tcBorders>
              <w:bottom w:val="single" w:sz="2" w:space="0" w:color="CCCCCC"/>
            </w:tcBorders>
          </w:tcPr>
          <w:p>
            <w:pPr>
              <w:pStyle w:val="CompactTableText"/>
              <w:bidi w:val="0"/>
              <w:spacing w:lineRule="auto" w:line="264" w:before="0" w:after="43"/>
              <w:jc w:val="start"/>
              <w:rPr/>
            </w:pPr>
            <w:r>
              <w:rPr/>
              <w:t>benchmark policy choice</w:t>
            </w:r>
          </w:p>
        </w:tc>
        <w:tc>
          <w:tcPr>
            <w:tcW w:w="3600" w:type="dxa"/>
            <w:tcBorders>
              <w:bottom w:val="single" w:sz="2" w:space="0" w:color="CCCCCC"/>
            </w:tcBorders>
          </w:tcPr>
          <w:p>
            <w:pPr>
              <w:pStyle w:val="CompactTableText"/>
              <w:bidi w:val="0"/>
              <w:spacing w:lineRule="auto" w:line="264" w:before="0" w:after="43"/>
              <w:jc w:val="start"/>
              <w:rPr/>
            </w:pPr>
            <w:r>
              <w:rPr/>
              <w:t>Three one-third-turn passes release the one-turn initial state</w:t>
            </w:r>
          </w:p>
        </w:tc>
      </w:tr>
    </w:tbl>
    <w:p>
      <w:pPr>
        <w:pStyle w:val="LandscapeFigureHeading"/>
        <w:bidi w:val="0"/>
        <w:jc w:val="start"/>
        <w:rPr/>
      </w:pPr>
      <w:r>
        <w:rPr/>
        <w:t>Appendix C. Engineering specifications — H11 to H15</w:t>
      </w:r>
    </w:p>
    <w:p>
      <w:pPr>
        <w:pStyle w:val="TableCaption"/>
        <w:keepNext w:val="true"/>
        <w:bidi w:val="0"/>
        <w:jc w:val="start"/>
        <w:rPr/>
      </w:pPr>
      <w:r>
        <w:rPr/>
        <w:t>Table 10. Appendix C. Engineering specifications — H11 to H15</w:t>
      </w:r>
    </w:p>
    <w:tbl>
      <w:tblPr>
        <w:tblW w:w="12960" w:type="dxa"/>
        <w:jc w:val="start"/>
        <w:tblInd w:w="0" w:type="dxa"/>
        <w:tblLayout w:type="fixed"/>
        <w:tblCellMar>
          <w:top w:w="58" w:type="dxa"/>
          <w:start w:w="58" w:type="dxa"/>
          <w:bottom w:w="58" w:type="dxa"/>
          <w:end w:w="58" w:type="dxa"/>
        </w:tblCellMar>
      </w:tblPr>
      <w:tblGrid>
        <w:gridCol w:w="2160"/>
        <w:gridCol w:w="3600"/>
        <w:gridCol w:w="3600"/>
        <w:gridCol w:w="3600"/>
      </w:tblGrid>
      <w:tr>
        <w:trPr/>
        <w:tc>
          <w:tcPr>
            <w:tcW w:w="2160" w:type="dxa"/>
            <w:tcBorders>
              <w:bottom w:val="single" w:sz="2" w:space="0" w:color="CCCCCC"/>
            </w:tcBorders>
          </w:tcPr>
          <w:p>
            <w:pPr>
              <w:pStyle w:val="CompactTableText"/>
              <w:bidi w:val="0"/>
              <w:spacing w:lineRule="auto" w:line="264" w:before="0" w:after="43"/>
              <w:jc w:val="start"/>
              <w:rPr/>
            </w:pPr>
            <w:r>
              <w:rPr>
                <w:rStyle w:val="Tb"/>
              </w:rPr>
              <w:t>Specification</w:t>
            </w:r>
          </w:p>
        </w:tc>
        <w:tc>
          <w:tcPr>
            <w:tcW w:w="3600" w:type="dxa"/>
            <w:tcBorders>
              <w:bottom w:val="single" w:sz="2" w:space="0" w:color="CCCCCC"/>
            </w:tcBorders>
          </w:tcPr>
          <w:p>
            <w:pPr>
              <w:pStyle w:val="CompactTableText"/>
              <w:bidi w:val="0"/>
              <w:spacing w:lineRule="auto" w:line="264" w:before="0" w:after="43"/>
              <w:jc w:val="start"/>
              <w:rPr/>
            </w:pPr>
            <w:r>
              <w:rPr>
                <w:rStyle w:val="Tb"/>
              </w:rPr>
              <w:t>Benchmark value and scope</w:t>
            </w:r>
          </w:p>
        </w:tc>
        <w:tc>
          <w:tcPr>
            <w:tcW w:w="3600" w:type="dxa"/>
            <w:tcBorders>
              <w:bottom w:val="single" w:sz="2" w:space="0" w:color="CCCCCC"/>
            </w:tcBorders>
          </w:tcPr>
          <w:p>
            <w:pPr>
              <w:pStyle w:val="CompactTableText"/>
              <w:bidi w:val="0"/>
              <w:spacing w:lineRule="auto" w:line="264" w:before="0" w:after="43"/>
              <w:jc w:val="start"/>
              <w:rPr/>
            </w:pPr>
            <w:r>
              <w:rPr>
                <w:rStyle w:val="Tb"/>
              </w:rPr>
              <w:t>Basis and public-source value</w:t>
            </w:r>
          </w:p>
        </w:tc>
        <w:tc>
          <w:tcPr>
            <w:tcW w:w="3600" w:type="dxa"/>
            <w:tcBorders>
              <w:bottom w:val="single" w:sz="2" w:space="0" w:color="CCCCCC"/>
            </w:tcBorders>
          </w:tcPr>
          <w:p>
            <w:pPr>
              <w:pStyle w:val="CompactTableText"/>
              <w:bidi w:val="0"/>
              <w:spacing w:lineRule="auto" w:line="264" w:before="0" w:after="43"/>
              <w:jc w:val="start"/>
              <w:rPr/>
            </w:pPr>
            <w:r>
              <w:rPr>
                <w:rStyle w:val="Tb"/>
              </w:rPr>
              <w:t>Selection and disagreement or limit</w:t>
            </w:r>
          </w:p>
        </w:tc>
      </w:tr>
      <w:tr>
        <w:trPr/>
        <w:tc>
          <w:tcPr>
            <w:tcW w:w="2160" w:type="dxa"/>
            <w:tcBorders>
              <w:bottom w:val="single" w:sz="2" w:space="0" w:color="CCCCCC"/>
            </w:tcBorders>
          </w:tcPr>
          <w:p>
            <w:pPr>
              <w:pStyle w:val="CompactTableText"/>
              <w:bidi w:val="0"/>
              <w:spacing w:lineRule="auto" w:line="264" w:before="0" w:after="43"/>
              <w:jc w:val="start"/>
              <w:rPr/>
            </w:pPr>
            <w:r>
              <w:rPr/>
              <w:t>H11: New installation engagement</w:t>
            </w:r>
          </w:p>
        </w:tc>
        <w:tc>
          <w:tcPr>
            <w:tcW w:w="3600" w:type="dxa"/>
            <w:tcBorders>
              <w:bottom w:val="single" w:sz="2" w:space="0" w:color="CCCCCC"/>
            </w:tcBorders>
          </w:tcPr>
          <w:p>
            <w:pPr>
              <w:pStyle w:val="CompactTableText"/>
              <w:bidi w:val="0"/>
              <w:spacing w:lineRule="auto" w:line="264" w:before="0" w:after="43"/>
              <w:jc w:val="start"/>
              <w:rPr/>
            </w:pPr>
            <w:r>
              <w:rPr/>
              <w:t>2 turns; active benchmark</w:t>
            </w:r>
          </w:p>
        </w:tc>
        <w:tc>
          <w:tcPr>
            <w:tcW w:w="3600" w:type="dxa"/>
            <w:tcBorders>
              <w:bottom w:val="single" w:sz="2" w:space="0" w:color="CCCCCC"/>
            </w:tcBorders>
          </w:tcPr>
          <w:p>
            <w:pPr>
              <w:pStyle w:val="CompactTableText"/>
              <w:bidi w:val="0"/>
              <w:spacing w:lineRule="auto" w:line="264" w:before="0" w:after="43"/>
              <w:jc w:val="start"/>
              <w:rPr/>
            </w:pPr>
            <w:r>
              <w:rPr/>
              <w:t>benchmark policy choice</w:t>
            </w:r>
          </w:p>
        </w:tc>
        <w:tc>
          <w:tcPr>
            <w:tcW w:w="3600" w:type="dxa"/>
            <w:tcBorders>
              <w:bottom w:val="single" w:sz="2" w:space="0" w:color="CCCCCC"/>
            </w:tcBorders>
          </w:tcPr>
          <w:p>
            <w:pPr>
              <w:pStyle w:val="CompactTableText"/>
              <w:bidi w:val="0"/>
              <w:spacing w:lineRule="auto" w:line="264" w:before="0" w:after="43"/>
              <w:jc w:val="start"/>
              <w:rPr/>
            </w:pPr>
            <w:r>
              <w:rPr/>
              <w:t>Discrete started-fastener state in fixture path Source-defined initial_conditions can override; not measured engagement.</w:t>
            </w:r>
          </w:p>
        </w:tc>
      </w:tr>
      <w:tr>
        <w:trPr/>
        <w:tc>
          <w:tcPr>
            <w:tcW w:w="2160" w:type="dxa"/>
            <w:tcBorders>
              <w:bottom w:val="single" w:sz="2" w:space="0" w:color="CCCCCC"/>
            </w:tcBorders>
          </w:tcPr>
          <w:p>
            <w:pPr>
              <w:pStyle w:val="CompactTableText"/>
              <w:bidi w:val="0"/>
              <w:spacing w:lineRule="auto" w:line="264" w:before="0" w:after="43"/>
              <w:jc w:val="start"/>
              <w:rPr/>
            </w:pPr>
            <w:r>
              <w:rPr/>
              <w:t>H12: Initial assembled torque</w:t>
            </w:r>
          </w:p>
        </w:tc>
        <w:tc>
          <w:tcPr>
            <w:tcW w:w="3600" w:type="dxa"/>
            <w:tcBorders>
              <w:bottom w:val="single" w:sz="2" w:space="0" w:color="CCCCCC"/>
            </w:tcBorders>
          </w:tcPr>
          <w:p>
            <w:pPr>
              <w:pStyle w:val="CompactTableText"/>
              <w:bidi w:val="0"/>
              <w:spacing w:lineRule="auto" w:line="264" w:before="0" w:after="43"/>
              <w:jc w:val="start"/>
              <w:rPr/>
            </w:pPr>
            <w:r>
              <w:rPr/>
              <w:t>73 N m; active benchmark</w:t>
            </w:r>
          </w:p>
        </w:tc>
        <w:tc>
          <w:tcPr>
            <w:tcW w:w="3600" w:type="dxa"/>
            <w:tcBorders>
              <w:bottom w:val="single" w:sz="2" w:space="0" w:color="CCCCCC"/>
            </w:tcBorders>
          </w:tcPr>
          <w:p>
            <w:pPr>
              <w:pStyle w:val="CompactTableText"/>
              <w:bidi w:val="0"/>
              <w:spacing w:lineRule="auto" w:line="264" w:before="0" w:after="43"/>
              <w:jc w:val="start"/>
              <w:rPr/>
            </w:pPr>
            <w:r>
              <w:rPr/>
              <w:t>benchmark policy choice; M|S2; 73; Related final tightening value</w:t>
            </w:r>
          </w:p>
        </w:tc>
        <w:tc>
          <w:tcPr>
            <w:tcW w:w="3600" w:type="dxa"/>
            <w:tcBorders>
              <w:bottom w:val="single" w:sz="2" w:space="0" w:color="CCCCCC"/>
            </w:tcBorders>
          </w:tcPr>
          <w:p>
            <w:pPr>
              <w:pStyle w:val="CompactTableText"/>
              <w:bidi w:val="0"/>
              <w:spacing w:lineRule="auto" w:line="264" w:before="0" w:after="43"/>
              <w:jc w:val="start"/>
              <w:rPr/>
            </w:pPr>
            <w:r>
              <w:rPr/>
              <w:t>Authored initial state initialized to final service value</w:t>
            </w:r>
          </w:p>
        </w:tc>
      </w:tr>
      <w:tr>
        <w:trPr/>
        <w:tc>
          <w:tcPr>
            <w:tcW w:w="2160" w:type="dxa"/>
            <w:tcBorders>
              <w:bottom w:val="single" w:sz="2" w:space="0" w:color="CCCCCC"/>
            </w:tcBorders>
          </w:tcPr>
          <w:p>
            <w:pPr>
              <w:pStyle w:val="CompactTableText"/>
              <w:bidi w:val="0"/>
              <w:spacing w:lineRule="auto" w:line="264" w:before="0" w:after="43"/>
              <w:jc w:val="start"/>
              <w:rPr/>
            </w:pPr>
            <w:r>
              <w:rPr/>
              <w:t>H13: Thread nominal diameter</w:t>
            </w:r>
          </w:p>
        </w:tc>
        <w:tc>
          <w:tcPr>
            <w:tcW w:w="3600" w:type="dxa"/>
            <w:tcBorders>
              <w:bottom w:val="single" w:sz="2" w:space="0" w:color="CCCCCC"/>
            </w:tcBorders>
          </w:tcPr>
          <w:p>
            <w:pPr>
              <w:pStyle w:val="CompactTableText"/>
              <w:bidi w:val="0"/>
              <w:spacing w:lineRule="auto" w:line="264" w:before="0" w:after="43"/>
              <w:jc w:val="start"/>
              <w:rPr/>
            </w:pPr>
            <w:r>
              <w:rPr/>
              <w:t>10 mm; active benchmark</w:t>
            </w:r>
          </w:p>
        </w:tc>
        <w:tc>
          <w:tcPr>
            <w:tcW w:w="3600" w:type="dxa"/>
            <w:tcBorders>
              <w:bottom w:val="single" w:sz="2" w:space="0" w:color="CCCCCC"/>
            </w:tcBorders>
          </w:tcPr>
          <w:p>
            <w:pPr>
              <w:pStyle w:val="CompactTableText"/>
              <w:bidi w:val="0"/>
              <w:spacing w:lineRule="auto" w:line="264" w:before="0" w:after="43"/>
              <w:jc w:val="start"/>
              <w:rPr/>
            </w:pPr>
            <w:r>
              <w:rPr/>
              <w:t>public source-supported; S2; 10; 704.700 bolt dimension</w:t>
            </w:r>
          </w:p>
        </w:tc>
        <w:tc>
          <w:tcPr>
            <w:tcW w:w="3600" w:type="dxa"/>
            <w:tcBorders>
              <w:bottom w:val="single" w:sz="2" w:space="0" w:color="CCCCCC"/>
            </w:tcBorders>
          </w:tcPr>
          <w:p>
            <w:pPr>
              <w:pStyle w:val="CompactTableText"/>
              <w:bidi w:val="0"/>
              <w:spacing w:lineRule="auto" w:line="264" w:before="0" w:after="43"/>
              <w:jc w:val="start"/>
              <w:rPr/>
            </w:pPr>
            <w:r>
              <w:rPr/>
              <w:t>Related fastener dimension</w:t>
            </w:r>
          </w:p>
        </w:tc>
      </w:tr>
      <w:tr>
        <w:trPr/>
        <w:tc>
          <w:tcPr>
            <w:tcW w:w="2160" w:type="dxa"/>
            <w:tcBorders>
              <w:bottom w:val="single" w:sz="2" w:space="0" w:color="CCCCCC"/>
            </w:tcBorders>
          </w:tcPr>
          <w:p>
            <w:pPr>
              <w:pStyle w:val="CompactTableText"/>
              <w:bidi w:val="0"/>
              <w:spacing w:lineRule="auto" w:line="264" w:before="0" w:after="43"/>
              <w:jc w:val="start"/>
              <w:rPr/>
            </w:pPr>
            <w:r>
              <w:rPr/>
              <w:t>H14: Thread pitch</w:t>
            </w:r>
          </w:p>
        </w:tc>
        <w:tc>
          <w:tcPr>
            <w:tcW w:w="3600" w:type="dxa"/>
            <w:tcBorders>
              <w:bottom w:val="single" w:sz="2" w:space="0" w:color="CCCCCC"/>
            </w:tcBorders>
          </w:tcPr>
          <w:p>
            <w:pPr>
              <w:pStyle w:val="CompactTableText"/>
              <w:bidi w:val="0"/>
              <w:spacing w:lineRule="auto" w:line="264" w:before="0" w:after="43"/>
              <w:jc w:val="start"/>
              <w:rPr/>
            </w:pPr>
            <w:r>
              <w:rPr/>
              <w:t>1.25 mm; active benchmark</w:t>
            </w:r>
          </w:p>
        </w:tc>
        <w:tc>
          <w:tcPr>
            <w:tcW w:w="3600" w:type="dxa"/>
            <w:tcBorders>
              <w:bottom w:val="single" w:sz="2" w:space="0" w:color="CCCCCC"/>
            </w:tcBorders>
          </w:tcPr>
          <w:p>
            <w:pPr>
              <w:pStyle w:val="CompactTableText"/>
              <w:bidi w:val="0"/>
              <w:spacing w:lineRule="auto" w:line="264" w:before="0" w:after="43"/>
              <w:jc w:val="start"/>
              <w:rPr/>
            </w:pPr>
            <w:r>
              <w:rPr/>
              <w:t>public source-supported; S2; 1.25; 704.700 bolt dimension</w:t>
            </w:r>
          </w:p>
        </w:tc>
        <w:tc>
          <w:tcPr>
            <w:tcW w:w="3600" w:type="dxa"/>
            <w:tcBorders>
              <w:bottom w:val="single" w:sz="2" w:space="0" w:color="CCCCCC"/>
            </w:tcBorders>
          </w:tcPr>
          <w:p>
            <w:pPr>
              <w:pStyle w:val="CompactTableText"/>
              <w:bidi w:val="0"/>
              <w:spacing w:lineRule="auto" w:line="264" w:before="0" w:after="43"/>
              <w:jc w:val="start"/>
              <w:rPr/>
            </w:pPr>
            <w:r>
              <w:rPr/>
              <w:t>Related fastener dimension</w:t>
            </w:r>
          </w:p>
        </w:tc>
      </w:tr>
      <w:tr>
        <w:trPr/>
        <w:tc>
          <w:tcPr>
            <w:tcW w:w="2160" w:type="dxa"/>
            <w:tcBorders>
              <w:bottom w:val="single" w:sz="2" w:space="0" w:color="CCCCCC"/>
            </w:tcBorders>
          </w:tcPr>
          <w:p>
            <w:pPr>
              <w:pStyle w:val="CompactTableText"/>
              <w:bidi w:val="0"/>
              <w:spacing w:lineRule="auto" w:line="264" w:before="0" w:after="43"/>
              <w:jc w:val="start"/>
              <w:rPr/>
            </w:pPr>
            <w:r>
              <w:rPr/>
              <w:t>H15: Nominal bolt dimension</w:t>
            </w:r>
          </w:p>
        </w:tc>
        <w:tc>
          <w:tcPr>
            <w:tcW w:w="3600" w:type="dxa"/>
            <w:tcBorders>
              <w:bottom w:val="single" w:sz="2" w:space="0" w:color="CCCCCC"/>
            </w:tcBorders>
          </w:tcPr>
          <w:p>
            <w:pPr>
              <w:pStyle w:val="CompactTableText"/>
              <w:bidi w:val="0"/>
              <w:spacing w:lineRule="auto" w:line="264" w:before="0" w:after="43"/>
              <w:jc w:val="start"/>
              <w:rPr/>
            </w:pPr>
            <w:r>
              <w:rPr/>
              <w:t>140 mm; active benchmark</w:t>
            </w:r>
          </w:p>
        </w:tc>
        <w:tc>
          <w:tcPr>
            <w:tcW w:w="3600" w:type="dxa"/>
            <w:tcBorders>
              <w:bottom w:val="single" w:sz="2" w:space="0" w:color="CCCCCC"/>
            </w:tcBorders>
          </w:tcPr>
          <w:p>
            <w:pPr>
              <w:pStyle w:val="CompactTableText"/>
              <w:bidi w:val="0"/>
              <w:spacing w:lineRule="auto" w:line="264" w:before="0" w:after="43"/>
              <w:jc w:val="start"/>
              <w:rPr/>
            </w:pPr>
            <w:r>
              <w:rPr/>
              <w:t>public source-supported; S2; 140; 704.700 bolt dimension</w:t>
            </w:r>
          </w:p>
        </w:tc>
        <w:tc>
          <w:tcPr>
            <w:tcW w:w="3600" w:type="dxa"/>
            <w:tcBorders>
              <w:bottom w:val="single" w:sz="2" w:space="0" w:color="CCCCCC"/>
            </w:tcBorders>
          </w:tcPr>
          <w:p>
            <w:pPr>
              <w:pStyle w:val="CompactTableText"/>
              <w:bidi w:val="0"/>
              <w:spacing w:lineRule="auto" w:line="264" w:before="0" w:after="43"/>
              <w:jc w:val="start"/>
              <w:rPr/>
            </w:pPr>
            <w:r>
              <w:rPr/>
              <w:t>Related nominal part length Not a measured free length or allowable reuse limit.</w:t>
            </w:r>
          </w:p>
        </w:tc>
      </w:tr>
    </w:tbl>
    <w:p>
      <w:pPr>
        <w:pStyle w:val="LandscapeFigureHeading"/>
        <w:bidi w:val="0"/>
        <w:jc w:val="start"/>
        <w:rPr/>
      </w:pPr>
      <w:r>
        <w:rPr/>
        <w:t>Appendix C. Engineering specifications — H16 to H20</w:t>
      </w:r>
    </w:p>
    <w:p>
      <w:pPr>
        <w:pStyle w:val="TableCaption"/>
        <w:keepNext w:val="true"/>
        <w:bidi w:val="0"/>
        <w:jc w:val="start"/>
        <w:rPr/>
      </w:pPr>
      <w:r>
        <w:rPr/>
        <w:t>Table 11. Appendix C. Engineering specifications — H16 to H20</w:t>
      </w:r>
    </w:p>
    <w:tbl>
      <w:tblPr>
        <w:tblW w:w="12960" w:type="dxa"/>
        <w:jc w:val="start"/>
        <w:tblInd w:w="0" w:type="dxa"/>
        <w:tblLayout w:type="fixed"/>
        <w:tblCellMar>
          <w:top w:w="58" w:type="dxa"/>
          <w:start w:w="58" w:type="dxa"/>
          <w:bottom w:w="58" w:type="dxa"/>
          <w:end w:w="58" w:type="dxa"/>
        </w:tblCellMar>
      </w:tblPr>
      <w:tblGrid>
        <w:gridCol w:w="2160"/>
        <w:gridCol w:w="3600"/>
        <w:gridCol w:w="3600"/>
        <w:gridCol w:w="3600"/>
      </w:tblGrid>
      <w:tr>
        <w:trPr/>
        <w:tc>
          <w:tcPr>
            <w:tcW w:w="2160" w:type="dxa"/>
            <w:tcBorders>
              <w:bottom w:val="single" w:sz="2" w:space="0" w:color="CCCCCC"/>
            </w:tcBorders>
          </w:tcPr>
          <w:p>
            <w:pPr>
              <w:pStyle w:val="CompactTableText"/>
              <w:bidi w:val="0"/>
              <w:spacing w:lineRule="auto" w:line="264" w:before="0" w:after="43"/>
              <w:jc w:val="start"/>
              <w:rPr/>
            </w:pPr>
            <w:r>
              <w:rPr>
                <w:rStyle w:val="Tb"/>
              </w:rPr>
              <w:t>Specification</w:t>
            </w:r>
          </w:p>
        </w:tc>
        <w:tc>
          <w:tcPr>
            <w:tcW w:w="3600" w:type="dxa"/>
            <w:tcBorders>
              <w:bottom w:val="single" w:sz="2" w:space="0" w:color="CCCCCC"/>
            </w:tcBorders>
          </w:tcPr>
          <w:p>
            <w:pPr>
              <w:pStyle w:val="CompactTableText"/>
              <w:bidi w:val="0"/>
              <w:spacing w:lineRule="auto" w:line="264" w:before="0" w:after="43"/>
              <w:jc w:val="start"/>
              <w:rPr/>
            </w:pPr>
            <w:r>
              <w:rPr>
                <w:rStyle w:val="Tb"/>
              </w:rPr>
              <w:t>Benchmark value and scope</w:t>
            </w:r>
          </w:p>
        </w:tc>
        <w:tc>
          <w:tcPr>
            <w:tcW w:w="3600" w:type="dxa"/>
            <w:tcBorders>
              <w:bottom w:val="single" w:sz="2" w:space="0" w:color="CCCCCC"/>
            </w:tcBorders>
          </w:tcPr>
          <w:p>
            <w:pPr>
              <w:pStyle w:val="CompactTableText"/>
              <w:bidi w:val="0"/>
              <w:spacing w:lineRule="auto" w:line="264" w:before="0" w:after="43"/>
              <w:jc w:val="start"/>
              <w:rPr/>
            </w:pPr>
            <w:r>
              <w:rPr>
                <w:rStyle w:val="Tb"/>
              </w:rPr>
              <w:t>Basis and public-source value</w:t>
            </w:r>
          </w:p>
        </w:tc>
        <w:tc>
          <w:tcPr>
            <w:tcW w:w="3600" w:type="dxa"/>
            <w:tcBorders>
              <w:bottom w:val="single" w:sz="2" w:space="0" w:color="CCCCCC"/>
            </w:tcBorders>
          </w:tcPr>
          <w:p>
            <w:pPr>
              <w:pStyle w:val="CompactTableText"/>
              <w:bidi w:val="0"/>
              <w:spacing w:lineRule="auto" w:line="264" w:before="0" w:after="43"/>
              <w:jc w:val="start"/>
              <w:rPr/>
            </w:pPr>
            <w:r>
              <w:rPr>
                <w:rStyle w:val="Tb"/>
              </w:rPr>
              <w:t>Selection and disagreement or limit</w:t>
            </w:r>
          </w:p>
        </w:tc>
      </w:tr>
      <w:tr>
        <w:trPr/>
        <w:tc>
          <w:tcPr>
            <w:tcW w:w="2160" w:type="dxa"/>
            <w:tcBorders>
              <w:bottom w:val="single" w:sz="2" w:space="0" w:color="CCCCCC"/>
            </w:tcBorders>
          </w:tcPr>
          <w:p>
            <w:pPr>
              <w:pStyle w:val="CompactTableText"/>
              <w:bidi w:val="0"/>
              <w:spacing w:lineRule="auto" w:line="264" w:before="0" w:after="43"/>
              <w:jc w:val="start"/>
              <w:rPr/>
            </w:pPr>
            <w:r>
              <w:rPr/>
              <w:t>H16: Lubrication</w:t>
            </w:r>
          </w:p>
        </w:tc>
        <w:tc>
          <w:tcPr>
            <w:tcW w:w="3600" w:type="dxa"/>
            <w:tcBorders>
              <w:bottom w:val="single" w:sz="2" w:space="0" w:color="CCCCCC"/>
            </w:tcBorders>
          </w:tcPr>
          <w:p>
            <w:pPr>
              <w:pStyle w:val="CompactTableText"/>
              <w:bidi w:val="0"/>
              <w:spacing w:lineRule="auto" w:line="264" w:before="0" w:after="43"/>
              <w:jc w:val="start"/>
              <w:rPr/>
            </w:pPr>
            <w:r>
              <w:rPr/>
              <w:t>threads and washer bearing surface oiled criterion; active benchmark</w:t>
            </w:r>
          </w:p>
        </w:tc>
        <w:tc>
          <w:tcPr>
            <w:tcW w:w="3600" w:type="dxa"/>
            <w:tcBorders>
              <w:bottom w:val="single" w:sz="2" w:space="0" w:color="CCCCCC"/>
            </w:tcBorders>
          </w:tcPr>
          <w:p>
            <w:pPr>
              <w:pStyle w:val="CompactTableText"/>
              <w:bidi w:val="0"/>
              <w:spacing w:lineRule="auto" w:line="264" w:before="0" w:after="43"/>
              <w:jc w:val="start"/>
              <w:rPr/>
            </w:pPr>
            <w:r>
              <w:rPr/>
              <w:t>public source-supported; M|S1; engine oil on threads and bearing faces; Head installation</w:t>
            </w:r>
          </w:p>
        </w:tc>
        <w:tc>
          <w:tcPr>
            <w:tcW w:w="3600" w:type="dxa"/>
            <w:tcBorders>
              <w:bottom w:val="single" w:sz="2" w:space="0" w:color="CCCCCC"/>
            </w:tcBorders>
          </w:tcPr>
          <w:p>
            <w:pPr>
              <w:pStyle w:val="CompactTableText"/>
              <w:bidi w:val="0"/>
              <w:spacing w:lineRule="auto" w:line="264" w:before="0" w:after="43"/>
              <w:jc w:val="start"/>
              <w:rPr/>
            </w:pPr>
            <w:r>
              <w:rPr/>
              <w:t>Service preparation condition</w:t>
            </w:r>
          </w:p>
        </w:tc>
      </w:tr>
      <w:tr>
        <w:trPr/>
        <w:tc>
          <w:tcPr>
            <w:tcW w:w="2160" w:type="dxa"/>
            <w:tcBorders>
              <w:bottom w:val="single" w:sz="2" w:space="0" w:color="CCCCCC"/>
            </w:tcBorders>
          </w:tcPr>
          <w:p>
            <w:pPr>
              <w:pStyle w:val="CompactTableText"/>
              <w:bidi w:val="0"/>
              <w:spacing w:lineRule="auto" w:line="264" w:before="0" w:after="43"/>
              <w:jc w:val="start"/>
              <w:rPr/>
            </w:pPr>
            <w:r>
              <w:rPr/>
              <w:t>H17: Replacement threshold</w:t>
            </w:r>
          </w:p>
        </w:tc>
        <w:tc>
          <w:tcPr>
            <w:tcW w:w="3600" w:type="dxa"/>
            <w:tcBorders>
              <w:bottom w:val="single" w:sz="2" w:space="0" w:color="CCCCCC"/>
            </w:tcBorders>
          </w:tcPr>
          <w:p>
            <w:pPr>
              <w:pStyle w:val="CompactTableText"/>
              <w:bidi w:val="0"/>
              <w:spacing w:lineRule="auto" w:line="264" w:before="0" w:after="43"/>
              <w:jc w:val="start"/>
              <w:rPr/>
            </w:pPr>
            <w:r>
              <w:rPr/>
              <w:t>0.1 mm extension; active benchmark</w:t>
            </w:r>
          </w:p>
        </w:tc>
        <w:tc>
          <w:tcPr>
            <w:tcW w:w="3600" w:type="dxa"/>
            <w:tcBorders>
              <w:bottom w:val="single" w:sz="2" w:space="0" w:color="CCCCCC"/>
            </w:tcBorders>
          </w:tcPr>
          <w:p>
            <w:pPr>
              <w:pStyle w:val="CompactTableText"/>
              <w:bidi w:val="0"/>
              <w:spacing w:lineRule="auto" w:line="264" w:before="0" w:after="43"/>
              <w:jc w:val="start"/>
              <w:rPr/>
            </w:pPr>
            <w:r>
              <w:rPr/>
              <w:t>benchmark policy choice</w:t>
            </w:r>
          </w:p>
        </w:tc>
        <w:tc>
          <w:tcPr>
            <w:tcW w:w="3600" w:type="dxa"/>
            <w:tcBorders>
              <w:bottom w:val="single" w:sz="2" w:space="0" w:color="CCCCCC"/>
            </w:tcBorders>
          </w:tcPr>
          <w:p>
            <w:pPr>
              <w:pStyle w:val="CompactTableText"/>
              <w:bidi w:val="0"/>
              <w:spacing w:lineRule="auto" w:line="264" w:before="0" w:after="43"/>
              <w:jc w:val="start"/>
              <w:rPr/>
            </w:pPr>
            <w:r>
              <w:rPr/>
              <w:t>Deliberate measurable V2 decision boundary; no applicable numeric factory reuse threshold established Replace strictly above threshold; equality does not trigger this rule. No failure-time inference.</w:t>
            </w:r>
          </w:p>
        </w:tc>
      </w:tr>
      <w:tr>
        <w:trPr/>
        <w:tc>
          <w:tcPr>
            <w:tcW w:w="2160" w:type="dxa"/>
            <w:tcBorders>
              <w:bottom w:val="single" w:sz="2" w:space="0" w:color="CCCCCC"/>
            </w:tcBorders>
          </w:tcPr>
          <w:p>
            <w:pPr>
              <w:pStyle w:val="CompactTableText"/>
              <w:bidi w:val="0"/>
              <w:spacing w:lineRule="auto" w:line="264" w:before="0" w:after="43"/>
              <w:jc w:val="start"/>
              <w:rPr/>
            </w:pPr>
            <w:r>
              <w:rPr/>
              <w:t>H18: V2 supplied bolt extension</w:t>
            </w:r>
          </w:p>
        </w:tc>
        <w:tc>
          <w:tcPr>
            <w:tcW w:w="3600" w:type="dxa"/>
            <w:tcBorders>
              <w:bottom w:val="single" w:sz="2" w:space="0" w:color="CCCCCC"/>
            </w:tcBorders>
          </w:tcPr>
          <w:p>
            <w:pPr>
              <w:pStyle w:val="CompactTableText"/>
              <w:bidi w:val="0"/>
              <w:spacing w:lineRule="auto" w:line="264" w:before="0" w:after="43"/>
              <w:jc w:val="start"/>
              <w:rPr/>
            </w:pPr>
            <w:r>
              <w:rPr/>
              <w:t>0.2 mm; active benchmark</w:t>
            </w:r>
          </w:p>
        </w:tc>
        <w:tc>
          <w:tcPr>
            <w:tcW w:w="3600" w:type="dxa"/>
            <w:tcBorders>
              <w:bottom w:val="single" w:sz="2" w:space="0" w:color="CCCCCC"/>
            </w:tcBorders>
          </w:tcPr>
          <w:p>
            <w:pPr>
              <w:pStyle w:val="CompactTableText"/>
              <w:bidi w:val="0"/>
              <w:spacing w:lineRule="auto" w:line="264" w:before="0" w:after="43"/>
              <w:jc w:val="start"/>
              <w:rPr/>
            </w:pPr>
            <w:r>
              <w:rPr/>
              <w:t>benchmark policy choice</w:t>
            </w:r>
          </w:p>
        </w:tc>
        <w:tc>
          <w:tcPr>
            <w:tcW w:w="3600" w:type="dxa"/>
            <w:tcBorders>
              <w:bottom w:val="single" w:sz="2" w:space="0" w:color="CCCCCC"/>
            </w:tcBorders>
          </w:tcPr>
          <w:p>
            <w:pPr>
              <w:pStyle w:val="CompactTableText"/>
              <w:bidi w:val="0"/>
              <w:spacing w:lineRule="auto" w:line="264" w:before="0" w:after="43"/>
              <w:jc w:val="start"/>
              <w:rPr/>
            </w:pPr>
            <w:r>
              <w:rPr/>
              <w:t>Authored fault exceeds0.1 mm benchmark threshold</w:t>
            </w:r>
          </w:p>
        </w:tc>
      </w:tr>
      <w:tr>
        <w:trPr/>
        <w:tc>
          <w:tcPr>
            <w:tcW w:w="2160" w:type="dxa"/>
            <w:tcBorders>
              <w:bottom w:val="single" w:sz="2" w:space="0" w:color="CCCCCC"/>
            </w:tcBorders>
          </w:tcPr>
          <w:p>
            <w:pPr>
              <w:pStyle w:val="CompactTableText"/>
              <w:bidi w:val="0"/>
              <w:spacing w:lineRule="auto" w:line="264" w:before="0" w:after="43"/>
              <w:jc w:val="start"/>
              <w:rPr/>
            </w:pPr>
            <w:r>
              <w:rPr/>
              <w:t>H19: V2 service position</w:t>
            </w:r>
          </w:p>
        </w:tc>
        <w:tc>
          <w:tcPr>
            <w:tcW w:w="3600" w:type="dxa"/>
            <w:tcBorders>
              <w:bottom w:val="single" w:sz="2" w:space="0" w:color="CCCCCC"/>
            </w:tcBorders>
          </w:tcPr>
          <w:p>
            <w:pPr>
              <w:pStyle w:val="CompactTableText"/>
              <w:bidi w:val="0"/>
              <w:spacing w:lineRule="auto" w:line="264" w:before="0" w:after="43"/>
              <w:jc w:val="start"/>
              <w:rPr/>
            </w:pPr>
            <w:r>
              <w:rPr/>
              <w:t>3 position; active benchmark</w:t>
            </w:r>
          </w:p>
        </w:tc>
        <w:tc>
          <w:tcPr>
            <w:tcW w:w="3600" w:type="dxa"/>
            <w:tcBorders>
              <w:bottom w:val="single" w:sz="2" w:space="0" w:color="CCCCCC"/>
            </w:tcBorders>
          </w:tcPr>
          <w:p>
            <w:pPr>
              <w:pStyle w:val="CompactTableText"/>
              <w:bidi w:val="0"/>
              <w:spacing w:lineRule="auto" w:line="264" w:before="0" w:after="43"/>
              <w:jc w:val="start"/>
              <w:rPr/>
            </w:pPr>
            <w:r>
              <w:rPr/>
              <w:t>benchmark policy choice</w:t>
            </w:r>
          </w:p>
        </w:tc>
        <w:tc>
          <w:tcPr>
            <w:tcW w:w="3600" w:type="dxa"/>
            <w:tcBorders>
              <w:bottom w:val="single" w:sz="2" w:space="0" w:color="CCCCCC"/>
            </w:tcBorders>
          </w:tcPr>
          <w:p>
            <w:pPr>
              <w:pStyle w:val="CompactTableText"/>
              <w:bidi w:val="0"/>
              <w:spacing w:lineRule="auto" w:line="264" w:before="0" w:after="43"/>
              <w:jc w:val="start"/>
              <w:rPr/>
            </w:pPr>
            <w:r>
              <w:rPr/>
              <w:t>Fixed variant instance makes the defect discoverable</w:t>
            </w:r>
          </w:p>
        </w:tc>
      </w:tr>
      <w:tr>
        <w:trPr/>
        <w:tc>
          <w:tcPr>
            <w:tcW w:w="2160" w:type="dxa"/>
            <w:tcBorders>
              <w:bottom w:val="single" w:sz="2" w:space="0" w:color="CCCCCC"/>
            </w:tcBorders>
          </w:tcPr>
          <w:p>
            <w:pPr>
              <w:pStyle w:val="CompactTableText"/>
              <w:bidi w:val="0"/>
              <w:spacing w:lineRule="auto" w:line="264" w:before="0" w:after="43"/>
              <w:jc w:val="start"/>
              <w:rPr/>
            </w:pPr>
            <w:r>
              <w:rPr/>
              <w:t>H20: Other/new bolt extension</w:t>
            </w:r>
          </w:p>
        </w:tc>
        <w:tc>
          <w:tcPr>
            <w:tcW w:w="3600" w:type="dxa"/>
            <w:tcBorders>
              <w:bottom w:val="single" w:sz="2" w:space="0" w:color="CCCCCC"/>
            </w:tcBorders>
          </w:tcPr>
          <w:p>
            <w:pPr>
              <w:pStyle w:val="CompactTableText"/>
              <w:bidi w:val="0"/>
              <w:spacing w:lineRule="auto" w:line="264" w:before="0" w:after="43"/>
              <w:jc w:val="start"/>
              <w:rPr/>
            </w:pPr>
            <w:r>
              <w:rPr/>
              <w:t>0 mm; active benchmark</w:t>
            </w:r>
          </w:p>
        </w:tc>
        <w:tc>
          <w:tcPr>
            <w:tcW w:w="3600" w:type="dxa"/>
            <w:tcBorders>
              <w:bottom w:val="single" w:sz="2" w:space="0" w:color="CCCCCC"/>
            </w:tcBorders>
          </w:tcPr>
          <w:p>
            <w:pPr>
              <w:pStyle w:val="CompactTableText"/>
              <w:bidi w:val="0"/>
              <w:spacing w:lineRule="auto" w:line="264" w:before="0" w:after="43"/>
              <w:jc w:val="start"/>
              <w:rPr/>
            </w:pPr>
            <w:r>
              <w:rPr/>
              <w:t>benchmark policy choice</w:t>
            </w:r>
          </w:p>
        </w:tc>
        <w:tc>
          <w:tcPr>
            <w:tcW w:w="3600" w:type="dxa"/>
            <w:tcBorders>
              <w:bottom w:val="single" w:sz="2" w:space="0" w:color="CCCCCC"/>
            </w:tcBorders>
          </w:tcPr>
          <w:p>
            <w:pPr>
              <w:pStyle w:val="CompactTableText"/>
              <w:bidi w:val="0"/>
              <w:spacing w:lineRule="auto" w:line="264" w:before="0" w:after="43"/>
              <w:jc w:val="start"/>
              <w:rPr/>
            </w:pPr>
            <w:r>
              <w:rPr/>
              <w:t>Authored unworn/replacement state Unknown measured free length must remain unknown.</w:t>
            </w:r>
          </w:p>
        </w:tc>
      </w:tr>
    </w:tbl>
    <w:p>
      <w:pPr>
        <w:pStyle w:val="LandscapeFigureHeading"/>
        <w:bidi w:val="0"/>
        <w:jc w:val="start"/>
        <w:rPr/>
      </w:pPr>
      <w:r>
        <w:rPr/>
        <w:t>Appendix C. Engineering specifications — H21 to C02</w:t>
      </w:r>
    </w:p>
    <w:p>
      <w:pPr>
        <w:pStyle w:val="TableCaption"/>
        <w:keepNext w:val="true"/>
        <w:bidi w:val="0"/>
        <w:jc w:val="start"/>
        <w:rPr/>
      </w:pPr>
      <w:r>
        <w:rPr/>
        <w:t>Table 12. Appendix C. Engineering specifications — H21 to C02</w:t>
      </w:r>
    </w:p>
    <w:tbl>
      <w:tblPr>
        <w:tblW w:w="12960" w:type="dxa"/>
        <w:jc w:val="start"/>
        <w:tblInd w:w="0" w:type="dxa"/>
        <w:tblLayout w:type="fixed"/>
        <w:tblCellMar>
          <w:top w:w="58" w:type="dxa"/>
          <w:start w:w="58" w:type="dxa"/>
          <w:bottom w:w="58" w:type="dxa"/>
          <w:end w:w="58" w:type="dxa"/>
        </w:tblCellMar>
      </w:tblPr>
      <w:tblGrid>
        <w:gridCol w:w="2160"/>
        <w:gridCol w:w="3600"/>
        <w:gridCol w:w="3600"/>
        <w:gridCol w:w="3600"/>
      </w:tblGrid>
      <w:tr>
        <w:trPr/>
        <w:tc>
          <w:tcPr>
            <w:tcW w:w="2160" w:type="dxa"/>
            <w:tcBorders>
              <w:bottom w:val="single" w:sz="2" w:space="0" w:color="CCCCCC"/>
            </w:tcBorders>
          </w:tcPr>
          <w:p>
            <w:pPr>
              <w:pStyle w:val="CompactTableText"/>
              <w:bidi w:val="0"/>
              <w:spacing w:lineRule="auto" w:line="264" w:before="0" w:after="43"/>
              <w:jc w:val="start"/>
              <w:rPr/>
            </w:pPr>
            <w:r>
              <w:rPr>
                <w:rStyle w:val="Tb"/>
              </w:rPr>
              <w:t>Specification</w:t>
            </w:r>
          </w:p>
        </w:tc>
        <w:tc>
          <w:tcPr>
            <w:tcW w:w="3600" w:type="dxa"/>
            <w:tcBorders>
              <w:bottom w:val="single" w:sz="2" w:space="0" w:color="CCCCCC"/>
            </w:tcBorders>
          </w:tcPr>
          <w:p>
            <w:pPr>
              <w:pStyle w:val="CompactTableText"/>
              <w:bidi w:val="0"/>
              <w:spacing w:lineRule="auto" w:line="264" w:before="0" w:after="43"/>
              <w:jc w:val="start"/>
              <w:rPr/>
            </w:pPr>
            <w:r>
              <w:rPr>
                <w:rStyle w:val="Tb"/>
              </w:rPr>
              <w:t>Benchmark value and scope</w:t>
            </w:r>
          </w:p>
        </w:tc>
        <w:tc>
          <w:tcPr>
            <w:tcW w:w="3600" w:type="dxa"/>
            <w:tcBorders>
              <w:bottom w:val="single" w:sz="2" w:space="0" w:color="CCCCCC"/>
            </w:tcBorders>
          </w:tcPr>
          <w:p>
            <w:pPr>
              <w:pStyle w:val="CompactTableText"/>
              <w:bidi w:val="0"/>
              <w:spacing w:lineRule="auto" w:line="264" w:before="0" w:after="43"/>
              <w:jc w:val="start"/>
              <w:rPr/>
            </w:pPr>
            <w:r>
              <w:rPr>
                <w:rStyle w:val="Tb"/>
              </w:rPr>
              <w:t>Basis and public-source value</w:t>
            </w:r>
          </w:p>
        </w:tc>
        <w:tc>
          <w:tcPr>
            <w:tcW w:w="3600" w:type="dxa"/>
            <w:tcBorders>
              <w:bottom w:val="single" w:sz="2" w:space="0" w:color="CCCCCC"/>
            </w:tcBorders>
          </w:tcPr>
          <w:p>
            <w:pPr>
              <w:pStyle w:val="CompactTableText"/>
              <w:bidi w:val="0"/>
              <w:spacing w:lineRule="auto" w:line="264" w:before="0" w:after="43"/>
              <w:jc w:val="start"/>
              <w:rPr/>
            </w:pPr>
            <w:r>
              <w:rPr>
                <w:rStyle w:val="Tb"/>
              </w:rPr>
              <w:t>Selection and disagreement or limit</w:t>
            </w:r>
          </w:p>
        </w:tc>
      </w:tr>
      <w:tr>
        <w:trPr/>
        <w:tc>
          <w:tcPr>
            <w:tcW w:w="2160" w:type="dxa"/>
            <w:tcBorders>
              <w:bottom w:val="single" w:sz="2" w:space="0" w:color="CCCCCC"/>
            </w:tcBorders>
          </w:tcPr>
          <w:p>
            <w:pPr>
              <w:pStyle w:val="CompactTableText"/>
              <w:bidi w:val="0"/>
              <w:spacing w:lineRule="auto" w:line="264" w:before="0" w:after="43"/>
              <w:jc w:val="start"/>
              <w:rPr/>
            </w:pPr>
            <w:r>
              <w:rPr/>
              <w:t>H21: Under-torque control final target</w:t>
            </w:r>
          </w:p>
        </w:tc>
        <w:tc>
          <w:tcPr>
            <w:tcW w:w="3600" w:type="dxa"/>
            <w:tcBorders>
              <w:bottom w:val="single" w:sz="2" w:space="0" w:color="CCCCCC"/>
            </w:tcBorders>
          </w:tcPr>
          <w:p>
            <w:pPr>
              <w:pStyle w:val="CompactTableText"/>
              <w:bidi w:val="0"/>
              <w:spacing w:lineRule="auto" w:line="264" w:before="0" w:after="43"/>
              <w:jc w:val="start"/>
              <w:rPr/>
            </w:pPr>
            <w:r>
              <w:rPr/>
              <w:t>50 N m; active benchmark</w:t>
            </w:r>
          </w:p>
        </w:tc>
        <w:tc>
          <w:tcPr>
            <w:tcW w:w="3600" w:type="dxa"/>
            <w:tcBorders>
              <w:bottom w:val="single" w:sz="2" w:space="0" w:color="CCCCCC"/>
            </w:tcBorders>
          </w:tcPr>
          <w:p>
            <w:pPr>
              <w:pStyle w:val="CompactTableText"/>
              <w:bidi w:val="0"/>
              <w:spacing w:lineRule="auto" w:line="264" w:before="0" w:after="43"/>
              <w:jc w:val="start"/>
              <w:rPr/>
            </w:pPr>
            <w:r>
              <w:rPr/>
              <w:t>benchmark policy choice</w:t>
            </w:r>
          </w:p>
        </w:tc>
        <w:tc>
          <w:tcPr>
            <w:tcW w:w="3600" w:type="dxa"/>
            <w:tcBorders>
              <w:bottom w:val="single" w:sz="2" w:space="0" w:color="CCCCCC"/>
            </w:tcBorders>
          </w:tcPr>
          <w:p>
            <w:pPr>
              <w:pStyle w:val="CompactTableText"/>
              <w:bidi w:val="0"/>
              <w:spacing w:lineRule="auto" w:line="264" w:before="0" w:after="43"/>
              <w:jc w:val="start"/>
              <w:rPr/>
            </w:pPr>
            <w:r>
              <w:rPr/>
              <w:t>Scripted torque-value error relative to73 Nm</w:t>
            </w:r>
          </w:p>
        </w:tc>
      </w:tr>
      <w:tr>
        <w:trPr/>
        <w:tc>
          <w:tcPr>
            <w:tcW w:w="2160" w:type="dxa"/>
            <w:tcBorders>
              <w:bottom w:val="single" w:sz="2" w:space="0" w:color="CCCCCC"/>
            </w:tcBorders>
          </w:tcPr>
          <w:p>
            <w:pPr>
              <w:pStyle w:val="CompactTableText"/>
              <w:bidi w:val="0"/>
              <w:spacing w:lineRule="auto" w:line="264" w:before="0" w:after="43"/>
              <w:jc w:val="start"/>
              <w:rPr/>
            </w:pPr>
            <w:r>
              <w:rPr/>
              <w:t>H22: Wrong-order control</w:t>
            </w:r>
          </w:p>
        </w:tc>
        <w:tc>
          <w:tcPr>
            <w:tcW w:w="3600" w:type="dxa"/>
            <w:tcBorders>
              <w:bottom w:val="single" w:sz="2" w:space="0" w:color="CCCCCC"/>
            </w:tcBorders>
          </w:tcPr>
          <w:p>
            <w:pPr>
              <w:pStyle w:val="CompactTableText"/>
              <w:bidi w:val="0"/>
              <w:spacing w:lineRule="auto" w:line="264" w:before="0" w:after="43"/>
              <w:jc w:val="start"/>
              <w:rPr/>
            </w:pPr>
            <w:r>
              <w:rPr/>
              <w:t>reverse both passes criterion; active benchmark</w:t>
            </w:r>
          </w:p>
        </w:tc>
        <w:tc>
          <w:tcPr>
            <w:tcW w:w="3600" w:type="dxa"/>
            <w:tcBorders>
              <w:bottom w:val="single" w:sz="2" w:space="0" w:color="CCCCCC"/>
            </w:tcBorders>
          </w:tcPr>
          <w:p>
            <w:pPr>
              <w:pStyle w:val="CompactTableText"/>
              <w:bidi w:val="0"/>
              <w:spacing w:lineRule="auto" w:line="264" w:before="0" w:after="43"/>
              <w:jc w:val="start"/>
              <w:rPr/>
            </w:pPr>
            <w:r>
              <w:rPr/>
              <w:t>benchmark policy choice</w:t>
            </w:r>
          </w:p>
        </w:tc>
        <w:tc>
          <w:tcPr>
            <w:tcW w:w="3600" w:type="dxa"/>
            <w:tcBorders>
              <w:bottom w:val="single" w:sz="2" w:space="0" w:color="CCCCCC"/>
            </w:tcBorders>
          </w:tcPr>
          <w:p>
            <w:pPr>
              <w:pStyle w:val="CompactTableText"/>
              <w:bidi w:val="0"/>
              <w:spacing w:lineRule="auto" w:line="264" w:before="0" w:after="43"/>
              <w:jc w:val="start"/>
              <w:rPr/>
            </w:pPr>
            <w:r>
              <w:rPr/>
              <w:t>Tests procedural ordering independent of force uniformity</w:t>
            </w:r>
          </w:p>
        </w:tc>
      </w:tr>
      <w:tr>
        <w:trPr/>
        <w:tc>
          <w:tcPr>
            <w:tcW w:w="2160" w:type="dxa"/>
            <w:tcBorders>
              <w:bottom w:val="single" w:sz="2" w:space="0" w:color="CCCCCC"/>
            </w:tcBorders>
          </w:tcPr>
          <w:p>
            <w:pPr>
              <w:pStyle w:val="CompactTableText"/>
              <w:bidi w:val="0"/>
              <w:spacing w:lineRule="auto" w:line="264" w:before="0" w:after="43"/>
              <w:jc w:val="start"/>
              <w:rPr/>
            </w:pPr>
            <w:r>
              <w:rPr/>
              <w:t>H23: Skipped-stage control</w:t>
            </w:r>
          </w:p>
        </w:tc>
        <w:tc>
          <w:tcPr>
            <w:tcW w:w="3600" w:type="dxa"/>
            <w:tcBorders>
              <w:bottom w:val="single" w:sz="2" w:space="0" w:color="CCCCCC"/>
            </w:tcBorders>
          </w:tcPr>
          <w:p>
            <w:pPr>
              <w:pStyle w:val="CompactTableText"/>
              <w:bidi w:val="0"/>
              <w:spacing w:lineRule="auto" w:line="264" w:before="0" w:after="43"/>
              <w:jc w:val="start"/>
              <w:rPr/>
            </w:pPr>
            <w:r>
              <w:rPr/>
              <w:t>omit complete73Nm pass criterion; active benchmark</w:t>
            </w:r>
          </w:p>
        </w:tc>
        <w:tc>
          <w:tcPr>
            <w:tcW w:w="3600" w:type="dxa"/>
            <w:tcBorders>
              <w:bottom w:val="single" w:sz="2" w:space="0" w:color="CCCCCC"/>
            </w:tcBorders>
          </w:tcPr>
          <w:p>
            <w:pPr>
              <w:pStyle w:val="CompactTableText"/>
              <w:bidi w:val="0"/>
              <w:spacing w:lineRule="auto" w:line="264" w:before="0" w:after="43"/>
              <w:jc w:val="start"/>
              <w:rPr/>
            </w:pPr>
            <w:r>
              <w:rPr/>
              <w:t>benchmark policy choice</w:t>
            </w:r>
          </w:p>
        </w:tc>
        <w:tc>
          <w:tcPr>
            <w:tcW w:w="3600" w:type="dxa"/>
            <w:tcBorders>
              <w:bottom w:val="single" w:sz="2" w:space="0" w:color="CCCCCC"/>
            </w:tcBorders>
          </w:tcPr>
          <w:p>
            <w:pPr>
              <w:pStyle w:val="CompactTableText"/>
              <w:bidi w:val="0"/>
              <w:spacing w:lineRule="auto" w:line="264" w:before="0" w:after="43"/>
              <w:jc w:val="start"/>
              <w:rPr/>
            </w:pPr>
            <w:r>
              <w:rPr/>
              <w:t>Tests missing final installation pass</w:t>
            </w:r>
          </w:p>
        </w:tc>
      </w:tr>
      <w:tr>
        <w:trPr/>
        <w:tc>
          <w:tcPr>
            <w:tcW w:w="2160" w:type="dxa"/>
            <w:tcBorders>
              <w:bottom w:val="single" w:sz="2" w:space="0" w:color="CCCCCC"/>
            </w:tcBorders>
          </w:tcPr>
          <w:p>
            <w:pPr>
              <w:pStyle w:val="CompactTableText"/>
              <w:bidi w:val="0"/>
              <w:spacing w:lineRule="auto" w:line="264" w:before="0" w:after="43"/>
              <w:jc w:val="start"/>
              <w:rPr/>
            </w:pPr>
            <w:r>
              <w:rPr/>
              <w:t>C01: Final torque</w:t>
            </w:r>
          </w:p>
        </w:tc>
        <w:tc>
          <w:tcPr>
            <w:tcW w:w="3600" w:type="dxa"/>
            <w:tcBorders>
              <w:bottom w:val="single" w:sz="2" w:space="0" w:color="CCCCCC"/>
            </w:tcBorders>
          </w:tcPr>
          <w:p>
            <w:pPr>
              <w:pStyle w:val="CompactTableText"/>
              <w:bidi w:val="0"/>
              <w:spacing w:lineRule="auto" w:line="264" w:before="0" w:after="43"/>
              <w:jc w:val="start"/>
              <w:rPr/>
            </w:pPr>
            <w:r>
              <w:rPr/>
              <w:t>10 N m; active benchmark</w:t>
            </w:r>
          </w:p>
        </w:tc>
        <w:tc>
          <w:tcPr>
            <w:tcW w:w="3600" w:type="dxa"/>
            <w:tcBorders>
              <w:bottom w:val="single" w:sz="2" w:space="0" w:color="CCCCCC"/>
            </w:tcBorders>
          </w:tcPr>
          <w:p>
            <w:pPr>
              <w:pStyle w:val="CompactTableText"/>
              <w:bidi w:val="0"/>
              <w:spacing w:lineRule="auto" w:line="264" w:before="0" w:after="43"/>
              <w:jc w:val="start"/>
              <w:rPr/>
            </w:pPr>
            <w:r>
              <w:rPr/>
              <w:t>public source-supported; M|S1; 10; M 6-56 cylinder-head-cover arrow; S1 printed page52 Valve Cover</w:t>
            </w:r>
          </w:p>
        </w:tc>
        <w:tc>
          <w:tcPr>
            <w:tcW w:w="3600" w:type="dxa"/>
            <w:tcBorders>
              <w:bottom w:val="single" w:sz="2" w:space="0" w:color="CCCCCC"/>
            </w:tcBorders>
          </w:tcPr>
          <w:p>
            <w:pPr>
              <w:pStyle w:val="CompactTableText"/>
              <w:bidi w:val="0"/>
              <w:spacing w:lineRule="auto" w:line="264" w:before="0" w:after="43"/>
              <w:jc w:val="start"/>
              <w:rPr/>
            </w:pPr>
            <w:r>
              <w:rPr/>
              <w:t>Related service torque</w:t>
            </w:r>
          </w:p>
        </w:tc>
      </w:tr>
      <w:tr>
        <w:trPr/>
        <w:tc>
          <w:tcPr>
            <w:tcW w:w="2160" w:type="dxa"/>
            <w:tcBorders>
              <w:bottom w:val="single" w:sz="2" w:space="0" w:color="CCCCCC"/>
            </w:tcBorders>
          </w:tcPr>
          <w:p>
            <w:pPr>
              <w:pStyle w:val="CompactTableText"/>
              <w:bidi w:val="0"/>
              <w:spacing w:lineRule="auto" w:line="264" w:before="0" w:after="43"/>
              <w:jc w:val="start"/>
              <w:rPr/>
            </w:pPr>
            <w:r>
              <w:rPr/>
              <w:t>C02: Intermediate torque passes</w:t>
            </w:r>
          </w:p>
        </w:tc>
        <w:tc>
          <w:tcPr>
            <w:tcW w:w="3600" w:type="dxa"/>
            <w:tcBorders>
              <w:bottom w:val="single" w:sz="2" w:space="0" w:color="CCCCCC"/>
            </w:tcBorders>
          </w:tcPr>
          <w:p>
            <w:pPr>
              <w:pStyle w:val="CompactTableText"/>
              <w:bidi w:val="0"/>
              <w:spacing w:lineRule="auto" w:line="264" w:before="0" w:after="43"/>
              <w:jc w:val="start"/>
              <w:rPr/>
            </w:pPr>
            <w:r>
              <w:rPr/>
              <w:t>3,6 N m; active benchmark</w:t>
            </w:r>
          </w:p>
        </w:tc>
        <w:tc>
          <w:tcPr>
            <w:tcW w:w="3600" w:type="dxa"/>
            <w:tcBorders>
              <w:bottom w:val="single" w:sz="2" w:space="0" w:color="CCCCCC"/>
            </w:tcBorders>
          </w:tcPr>
          <w:p>
            <w:pPr>
              <w:pStyle w:val="CompactTableText"/>
              <w:bidi w:val="0"/>
              <w:spacing w:lineRule="auto" w:line="264" w:before="0" w:after="43"/>
              <w:jc w:val="start"/>
              <w:rPr/>
            </w:pPr>
            <w:r>
              <w:rPr/>
              <w:t>benchmark policy choice</w:t>
            </w:r>
          </w:p>
        </w:tc>
        <w:tc>
          <w:tcPr>
            <w:tcW w:w="3600" w:type="dxa"/>
            <w:tcBorders>
              <w:bottom w:val="single" w:sz="2" w:space="0" w:color="CCCCCC"/>
            </w:tcBorders>
          </w:tcPr>
          <w:p>
            <w:pPr>
              <w:pStyle w:val="CompactTableText"/>
              <w:bidi w:val="0"/>
              <w:spacing w:lineRule="auto" w:line="264" w:before="0" w:after="43"/>
              <w:jc w:val="start"/>
              <w:rPr/>
            </w:pPr>
            <w:r>
              <w:rPr/>
              <w:t>Scripted gradual seating; no corresponding manual numerical steps established</w:t>
            </w:r>
          </w:p>
        </w:tc>
      </w:tr>
    </w:tbl>
    <w:p>
      <w:pPr>
        <w:pStyle w:val="LandscapeFigureHeading"/>
        <w:bidi w:val="0"/>
        <w:jc w:val="start"/>
        <w:rPr/>
      </w:pPr>
      <w:r>
        <w:rPr/>
        <w:t>Appendix C. Engineering specifications — C03 to C07</w:t>
      </w:r>
    </w:p>
    <w:p>
      <w:pPr>
        <w:pStyle w:val="TableCaption"/>
        <w:keepNext w:val="true"/>
        <w:bidi w:val="0"/>
        <w:jc w:val="start"/>
        <w:rPr/>
      </w:pPr>
      <w:r>
        <w:rPr/>
        <w:t>Table 13. Appendix C. Engineering specifications — C03 to C07</w:t>
      </w:r>
    </w:p>
    <w:tbl>
      <w:tblPr>
        <w:tblW w:w="12960" w:type="dxa"/>
        <w:jc w:val="start"/>
        <w:tblInd w:w="0" w:type="dxa"/>
        <w:tblLayout w:type="fixed"/>
        <w:tblCellMar>
          <w:top w:w="58" w:type="dxa"/>
          <w:start w:w="58" w:type="dxa"/>
          <w:bottom w:w="58" w:type="dxa"/>
          <w:end w:w="58" w:type="dxa"/>
        </w:tblCellMar>
      </w:tblPr>
      <w:tblGrid>
        <w:gridCol w:w="2160"/>
        <w:gridCol w:w="3600"/>
        <w:gridCol w:w="3600"/>
        <w:gridCol w:w="3600"/>
      </w:tblGrid>
      <w:tr>
        <w:trPr/>
        <w:tc>
          <w:tcPr>
            <w:tcW w:w="2160" w:type="dxa"/>
            <w:tcBorders>
              <w:bottom w:val="single" w:sz="2" w:space="0" w:color="CCCCCC"/>
            </w:tcBorders>
          </w:tcPr>
          <w:p>
            <w:pPr>
              <w:pStyle w:val="CompactTableText"/>
              <w:bidi w:val="0"/>
              <w:spacing w:lineRule="auto" w:line="264" w:before="0" w:after="43"/>
              <w:jc w:val="start"/>
              <w:rPr/>
            </w:pPr>
            <w:r>
              <w:rPr>
                <w:rStyle w:val="Tb"/>
              </w:rPr>
              <w:t>Specification</w:t>
            </w:r>
          </w:p>
        </w:tc>
        <w:tc>
          <w:tcPr>
            <w:tcW w:w="3600" w:type="dxa"/>
            <w:tcBorders>
              <w:bottom w:val="single" w:sz="2" w:space="0" w:color="CCCCCC"/>
            </w:tcBorders>
          </w:tcPr>
          <w:p>
            <w:pPr>
              <w:pStyle w:val="CompactTableText"/>
              <w:bidi w:val="0"/>
              <w:spacing w:lineRule="auto" w:line="264" w:before="0" w:after="43"/>
              <w:jc w:val="start"/>
              <w:rPr/>
            </w:pPr>
            <w:r>
              <w:rPr>
                <w:rStyle w:val="Tb"/>
              </w:rPr>
              <w:t>Benchmark value and scope</w:t>
            </w:r>
          </w:p>
        </w:tc>
        <w:tc>
          <w:tcPr>
            <w:tcW w:w="3600" w:type="dxa"/>
            <w:tcBorders>
              <w:bottom w:val="single" w:sz="2" w:space="0" w:color="CCCCCC"/>
            </w:tcBorders>
          </w:tcPr>
          <w:p>
            <w:pPr>
              <w:pStyle w:val="CompactTableText"/>
              <w:bidi w:val="0"/>
              <w:spacing w:lineRule="auto" w:line="264" w:before="0" w:after="43"/>
              <w:jc w:val="start"/>
              <w:rPr/>
            </w:pPr>
            <w:r>
              <w:rPr>
                <w:rStyle w:val="Tb"/>
              </w:rPr>
              <w:t>Basis and public-source value</w:t>
            </w:r>
          </w:p>
        </w:tc>
        <w:tc>
          <w:tcPr>
            <w:tcW w:w="3600" w:type="dxa"/>
            <w:tcBorders>
              <w:bottom w:val="single" w:sz="2" w:space="0" w:color="CCCCCC"/>
            </w:tcBorders>
          </w:tcPr>
          <w:p>
            <w:pPr>
              <w:pStyle w:val="CompactTableText"/>
              <w:bidi w:val="0"/>
              <w:spacing w:lineRule="auto" w:line="264" w:before="0" w:after="43"/>
              <w:jc w:val="start"/>
              <w:rPr/>
            </w:pPr>
            <w:r>
              <w:rPr>
                <w:rStyle w:val="Tb"/>
              </w:rPr>
              <w:t>Selection and disagreement or limit</w:t>
            </w:r>
          </w:p>
        </w:tc>
      </w:tr>
      <w:tr>
        <w:trPr/>
        <w:tc>
          <w:tcPr>
            <w:tcW w:w="2160" w:type="dxa"/>
            <w:tcBorders>
              <w:bottom w:val="single" w:sz="2" w:space="0" w:color="CCCCCC"/>
            </w:tcBorders>
          </w:tcPr>
          <w:p>
            <w:pPr>
              <w:pStyle w:val="CompactTableText"/>
              <w:bidi w:val="0"/>
              <w:spacing w:lineRule="auto" w:line="264" w:before="0" w:after="43"/>
              <w:jc w:val="start"/>
              <w:rPr/>
            </w:pPr>
            <w:r>
              <w:rPr/>
              <w:t>C03: Service position count</w:t>
            </w:r>
          </w:p>
        </w:tc>
        <w:tc>
          <w:tcPr>
            <w:tcW w:w="3600" w:type="dxa"/>
            <w:tcBorders>
              <w:bottom w:val="single" w:sz="2" w:space="0" w:color="CCCCCC"/>
            </w:tcBorders>
          </w:tcPr>
          <w:p>
            <w:pPr>
              <w:pStyle w:val="CompactTableText"/>
              <w:bidi w:val="0"/>
              <w:spacing w:lineRule="auto" w:line="264" w:before="0" w:after="43"/>
              <w:jc w:val="start"/>
              <w:rPr/>
            </w:pPr>
            <w:r>
              <w:rPr/>
              <w:t>5 bolts; active benchmark</w:t>
            </w:r>
          </w:p>
        </w:tc>
        <w:tc>
          <w:tcPr>
            <w:tcW w:w="3600" w:type="dxa"/>
            <w:tcBorders>
              <w:bottom w:val="single" w:sz="2" w:space="0" w:color="CCCCCC"/>
            </w:tcBorders>
          </w:tcPr>
          <w:p>
            <w:pPr>
              <w:pStyle w:val="CompactTableText"/>
              <w:bidi w:val="0"/>
              <w:spacing w:lineRule="auto" w:line="264" w:before="0" w:after="43"/>
              <w:jc w:val="start"/>
              <w:rPr/>
            </w:pPr>
            <w:r>
              <w:rPr/>
              <w:t>benchmark policy choice</w:t>
            </w:r>
          </w:p>
        </w:tc>
        <w:tc>
          <w:tcPr>
            <w:tcW w:w="3600" w:type="dxa"/>
            <w:tcBorders>
              <w:bottom w:val="single" w:sz="2" w:space="0" w:color="CCCCCC"/>
            </w:tcBorders>
          </w:tcPr>
          <w:p>
            <w:pPr>
              <w:pStyle w:val="CompactTableText"/>
              <w:bidi w:val="0"/>
              <w:spacing w:lineRule="auto" w:line="264" w:before="0" w:after="43"/>
              <w:jc w:val="start"/>
              <w:rPr/>
            </w:pPr>
            <w:r>
              <w:rPr/>
              <w:t>Selected software service layout Original cover pattern not established by the cited prose.</w:t>
            </w:r>
          </w:p>
        </w:tc>
      </w:tr>
      <w:tr>
        <w:trPr/>
        <w:tc>
          <w:tcPr>
            <w:tcW w:w="2160" w:type="dxa"/>
            <w:tcBorders>
              <w:bottom w:val="single" w:sz="2" w:space="0" w:color="CCCCCC"/>
            </w:tcBorders>
          </w:tcPr>
          <w:p>
            <w:pPr>
              <w:pStyle w:val="CompactTableText"/>
              <w:bidi w:val="0"/>
              <w:spacing w:lineRule="auto" w:line="264" w:before="0" w:after="43"/>
              <w:jc w:val="start"/>
              <w:rPr/>
            </w:pPr>
            <w:r>
              <w:rPr/>
              <w:t>C04: Tightening order</w:t>
            </w:r>
          </w:p>
        </w:tc>
        <w:tc>
          <w:tcPr>
            <w:tcW w:w="3600" w:type="dxa"/>
            <w:tcBorders>
              <w:bottom w:val="single" w:sz="2" w:space="0" w:color="CCCCCC"/>
            </w:tcBorders>
          </w:tcPr>
          <w:p>
            <w:pPr>
              <w:pStyle w:val="CompactTableText"/>
              <w:bidi w:val="0"/>
              <w:spacing w:lineRule="auto" w:line="264" w:before="0" w:after="43"/>
              <w:jc w:val="start"/>
              <w:rPr/>
            </w:pPr>
            <w:r>
              <w:rPr/>
              <w:t>1,2,3,4,5 position sequence; active benchmark</w:t>
            </w:r>
          </w:p>
        </w:tc>
        <w:tc>
          <w:tcPr>
            <w:tcW w:w="3600" w:type="dxa"/>
            <w:tcBorders>
              <w:bottom w:val="single" w:sz="2" w:space="0" w:color="CCCCCC"/>
            </w:tcBorders>
          </w:tcPr>
          <w:p>
            <w:pPr>
              <w:pStyle w:val="CompactTableText"/>
              <w:bidi w:val="0"/>
              <w:spacing w:lineRule="auto" w:line="264" w:before="0" w:after="43"/>
              <w:jc w:val="start"/>
              <w:rPr/>
            </w:pPr>
            <w:r>
              <w:rPr/>
              <w:t>benchmark policy choice</w:t>
            </w:r>
          </w:p>
        </w:tc>
        <w:tc>
          <w:tcPr>
            <w:tcW w:w="3600" w:type="dxa"/>
            <w:tcBorders>
              <w:bottom w:val="single" w:sz="2" w:space="0" w:color="CCCCCC"/>
            </w:tcBorders>
          </w:tcPr>
          <w:p>
            <w:pPr>
              <w:pStyle w:val="CompactTableText"/>
              <w:bidi w:val="0"/>
              <w:spacing w:lineRule="auto" w:line="264" w:before="0" w:after="43"/>
              <w:jc w:val="start"/>
              <w:rPr/>
            </w:pPr>
            <w:r>
              <w:rPr/>
              <w:t>Deterministic selected layout</w:t>
            </w:r>
          </w:p>
        </w:tc>
      </w:tr>
      <w:tr>
        <w:trPr/>
        <w:tc>
          <w:tcPr>
            <w:tcW w:w="2160" w:type="dxa"/>
            <w:tcBorders>
              <w:bottom w:val="single" w:sz="2" w:space="0" w:color="CCCCCC"/>
            </w:tcBorders>
          </w:tcPr>
          <w:p>
            <w:pPr>
              <w:pStyle w:val="CompactTableText"/>
              <w:bidi w:val="0"/>
              <w:spacing w:lineRule="auto" w:line="264" w:before="0" w:after="43"/>
              <w:jc w:val="start"/>
              <w:rPr/>
            </w:pPr>
            <w:r>
              <w:rPr/>
              <w:t>C05: Loosening order and steps</w:t>
            </w:r>
          </w:p>
        </w:tc>
        <w:tc>
          <w:tcPr>
            <w:tcW w:w="3600" w:type="dxa"/>
            <w:tcBorders>
              <w:bottom w:val="single" w:sz="2" w:space="0" w:color="CCCCCC"/>
            </w:tcBorders>
          </w:tcPr>
          <w:p>
            <w:pPr>
              <w:pStyle w:val="CompactTableText"/>
              <w:bidi w:val="0"/>
              <w:spacing w:lineRule="auto" w:line="264" w:before="0" w:after="43"/>
              <w:jc w:val="start"/>
              <w:rPr/>
            </w:pPr>
            <w:r>
              <w:rPr/>
              <w:t>5,4,3,2,1;3 passes of-120degrees sequence; active benchmark</w:t>
            </w:r>
          </w:p>
        </w:tc>
        <w:tc>
          <w:tcPr>
            <w:tcW w:w="3600" w:type="dxa"/>
            <w:tcBorders>
              <w:bottom w:val="single" w:sz="2" w:space="0" w:color="CCCCCC"/>
            </w:tcBorders>
          </w:tcPr>
          <w:p>
            <w:pPr>
              <w:pStyle w:val="CompactTableText"/>
              <w:bidi w:val="0"/>
              <w:spacing w:lineRule="auto" w:line="264" w:before="0" w:after="43"/>
              <w:jc w:val="start"/>
              <w:rPr/>
            </w:pPr>
            <w:r>
              <w:rPr/>
              <w:t>benchmark policy choice</w:t>
            </w:r>
          </w:p>
        </w:tc>
        <w:tc>
          <w:tcPr>
            <w:tcW w:w="3600" w:type="dxa"/>
            <w:tcBorders>
              <w:bottom w:val="single" w:sz="2" w:space="0" w:color="CCCCCC"/>
            </w:tcBorders>
          </w:tcPr>
          <w:p>
            <w:pPr>
              <w:pStyle w:val="CompactTableText"/>
              <w:bidi w:val="0"/>
              <w:spacing w:lineRule="auto" w:line="264" w:before="0" w:after="43"/>
              <w:jc w:val="start"/>
              <w:rPr/>
            </w:pPr>
            <w:r>
              <w:rPr/>
              <w:t>Symmetric procedural release rule Head-bolt one-third-turn instruction does not establish this cover pattern.</w:t>
            </w:r>
          </w:p>
        </w:tc>
      </w:tr>
      <w:tr>
        <w:trPr/>
        <w:tc>
          <w:tcPr>
            <w:tcW w:w="2160" w:type="dxa"/>
            <w:tcBorders>
              <w:bottom w:val="single" w:sz="2" w:space="0" w:color="CCCCCC"/>
            </w:tcBorders>
          </w:tcPr>
          <w:p>
            <w:pPr>
              <w:pStyle w:val="CompactTableText"/>
              <w:bidi w:val="0"/>
              <w:spacing w:lineRule="auto" w:line="264" w:before="0" w:after="43"/>
              <w:jc w:val="start"/>
              <w:rPr/>
            </w:pPr>
            <w:r>
              <w:rPr/>
              <w:t>C06: Thread diameter/pitch</w:t>
            </w:r>
          </w:p>
        </w:tc>
        <w:tc>
          <w:tcPr>
            <w:tcW w:w="3600" w:type="dxa"/>
            <w:tcBorders>
              <w:bottom w:val="single" w:sz="2" w:space="0" w:color="CCCCCC"/>
            </w:tcBorders>
          </w:tcPr>
          <w:p>
            <w:pPr>
              <w:pStyle w:val="CompactTableText"/>
              <w:bidi w:val="0"/>
              <w:spacing w:lineRule="auto" w:line="264" w:before="0" w:after="43"/>
              <w:jc w:val="start"/>
              <w:rPr/>
            </w:pPr>
            <w:r>
              <w:rPr/>
              <w:t>6 / 1 mm; active benchmark</w:t>
            </w:r>
          </w:p>
        </w:tc>
        <w:tc>
          <w:tcPr>
            <w:tcW w:w="3600" w:type="dxa"/>
            <w:tcBorders>
              <w:bottom w:val="single" w:sz="2" w:space="0" w:color="CCCCCC"/>
            </w:tcBorders>
          </w:tcPr>
          <w:p>
            <w:pPr>
              <w:pStyle w:val="CompactTableText"/>
              <w:bidi w:val="0"/>
              <w:spacing w:lineRule="auto" w:line="264" w:before="0" w:after="43"/>
              <w:jc w:val="start"/>
              <w:rPr/>
            </w:pPr>
            <w:r>
              <w:rPr/>
              <w:t>public source-supported; M; M 6x1.0; M 6-56 cylinder-head-cover fastener arrow</w:t>
            </w:r>
          </w:p>
        </w:tc>
        <w:tc>
          <w:tcPr>
            <w:tcW w:w="3600" w:type="dxa"/>
            <w:tcBorders>
              <w:bottom w:val="single" w:sz="2" w:space="0" w:color="CCCCCC"/>
            </w:tcBorders>
          </w:tcPr>
          <w:p>
            <w:pPr>
              <w:pStyle w:val="CompactTableText"/>
              <w:bidi w:val="0"/>
              <w:spacing w:lineRule="auto" w:line="264" w:before="0" w:after="43"/>
              <w:jc w:val="start"/>
              <w:rPr/>
            </w:pPr>
            <w:r>
              <w:rPr/>
              <w:t>Related cover fastener size</w:t>
            </w:r>
          </w:p>
        </w:tc>
      </w:tr>
      <w:tr>
        <w:trPr/>
        <w:tc>
          <w:tcPr>
            <w:tcW w:w="2160" w:type="dxa"/>
            <w:tcBorders>
              <w:bottom w:val="single" w:sz="2" w:space="0" w:color="CCCCCC"/>
            </w:tcBorders>
          </w:tcPr>
          <w:p>
            <w:pPr>
              <w:pStyle w:val="CompactTableText"/>
              <w:bidi w:val="0"/>
              <w:spacing w:lineRule="auto" w:line="264" w:before="0" w:after="43"/>
              <w:jc w:val="start"/>
              <w:rPr/>
            </w:pPr>
            <w:r>
              <w:rPr/>
              <w:t>C07: Nominal length</w:t>
            </w:r>
          </w:p>
        </w:tc>
        <w:tc>
          <w:tcPr>
            <w:tcW w:w="3600" w:type="dxa"/>
            <w:tcBorders>
              <w:bottom w:val="single" w:sz="2" w:space="0" w:color="CCCCCC"/>
            </w:tcBorders>
          </w:tcPr>
          <w:p>
            <w:pPr>
              <w:pStyle w:val="CompactTableText"/>
              <w:bidi w:val="0"/>
              <w:spacing w:lineRule="auto" w:line="264" w:before="0" w:after="43"/>
              <w:jc w:val="start"/>
              <w:rPr/>
            </w:pPr>
            <w:r>
              <w:rPr/>
              <w:t>40 mm; active benchmark</w:t>
            </w:r>
          </w:p>
        </w:tc>
        <w:tc>
          <w:tcPr>
            <w:tcW w:w="3600" w:type="dxa"/>
            <w:tcBorders>
              <w:bottom w:val="single" w:sz="2" w:space="0" w:color="CCCCCC"/>
            </w:tcBorders>
          </w:tcPr>
          <w:p>
            <w:pPr>
              <w:pStyle w:val="CompactTableText"/>
              <w:bidi w:val="0"/>
              <w:spacing w:lineRule="auto" w:line="264" w:before="0" w:after="43"/>
              <w:jc w:val="start"/>
              <w:rPr/>
            </w:pPr>
            <w:r>
              <w:rPr/>
              <w:t>benchmark policy choice</w:t>
            </w:r>
          </w:p>
        </w:tc>
        <w:tc>
          <w:tcPr>
            <w:tcW w:w="3600" w:type="dxa"/>
            <w:tcBorders>
              <w:bottom w:val="single" w:sz="2" w:space="0" w:color="CCCCCC"/>
            </w:tcBorders>
          </w:tcPr>
          <w:p>
            <w:pPr>
              <w:pStyle w:val="CompactTableText"/>
              <w:bidi w:val="0"/>
              <w:spacing w:lineRule="auto" w:line="264" w:before="0" w:after="43"/>
              <w:jc w:val="start"/>
              <w:rPr/>
            </w:pPr>
            <w:r>
              <w:rPr/>
              <w:t>Fixture fastener dimension</w:t>
            </w:r>
          </w:p>
        </w:tc>
      </w:tr>
    </w:tbl>
    <w:p>
      <w:pPr>
        <w:pStyle w:val="LandscapeFigureHeading"/>
        <w:bidi w:val="0"/>
        <w:jc w:val="start"/>
        <w:rPr/>
      </w:pPr>
      <w:r>
        <w:rPr/>
        <w:t>Appendix C. Engineering specifications — C08 to S02</w:t>
      </w:r>
    </w:p>
    <w:p>
      <w:pPr>
        <w:pStyle w:val="TableCaption"/>
        <w:keepNext w:val="true"/>
        <w:bidi w:val="0"/>
        <w:jc w:val="start"/>
        <w:rPr/>
      </w:pPr>
      <w:r>
        <w:rPr/>
        <w:t>Table 14. Appendix C. Engineering specifications — C08 to S02</w:t>
      </w:r>
    </w:p>
    <w:tbl>
      <w:tblPr>
        <w:tblW w:w="12960" w:type="dxa"/>
        <w:jc w:val="start"/>
        <w:tblInd w:w="0" w:type="dxa"/>
        <w:tblLayout w:type="fixed"/>
        <w:tblCellMar>
          <w:top w:w="58" w:type="dxa"/>
          <w:start w:w="58" w:type="dxa"/>
          <w:bottom w:w="58" w:type="dxa"/>
          <w:end w:w="58" w:type="dxa"/>
        </w:tblCellMar>
      </w:tblPr>
      <w:tblGrid>
        <w:gridCol w:w="2160"/>
        <w:gridCol w:w="3600"/>
        <w:gridCol w:w="3600"/>
        <w:gridCol w:w="3600"/>
      </w:tblGrid>
      <w:tr>
        <w:trPr/>
        <w:tc>
          <w:tcPr>
            <w:tcW w:w="2160" w:type="dxa"/>
            <w:tcBorders>
              <w:bottom w:val="single" w:sz="2" w:space="0" w:color="CCCCCC"/>
            </w:tcBorders>
          </w:tcPr>
          <w:p>
            <w:pPr>
              <w:pStyle w:val="CompactTableText"/>
              <w:bidi w:val="0"/>
              <w:spacing w:lineRule="auto" w:line="264" w:before="0" w:after="43"/>
              <w:jc w:val="start"/>
              <w:rPr/>
            </w:pPr>
            <w:r>
              <w:rPr>
                <w:rStyle w:val="Tb"/>
              </w:rPr>
              <w:t>Specification</w:t>
            </w:r>
          </w:p>
        </w:tc>
        <w:tc>
          <w:tcPr>
            <w:tcW w:w="3600" w:type="dxa"/>
            <w:tcBorders>
              <w:bottom w:val="single" w:sz="2" w:space="0" w:color="CCCCCC"/>
            </w:tcBorders>
          </w:tcPr>
          <w:p>
            <w:pPr>
              <w:pStyle w:val="CompactTableText"/>
              <w:bidi w:val="0"/>
              <w:spacing w:lineRule="auto" w:line="264" w:before="0" w:after="43"/>
              <w:jc w:val="start"/>
              <w:rPr/>
            </w:pPr>
            <w:r>
              <w:rPr>
                <w:rStyle w:val="Tb"/>
              </w:rPr>
              <w:t>Benchmark value and scope</w:t>
            </w:r>
          </w:p>
        </w:tc>
        <w:tc>
          <w:tcPr>
            <w:tcW w:w="3600" w:type="dxa"/>
            <w:tcBorders>
              <w:bottom w:val="single" w:sz="2" w:space="0" w:color="CCCCCC"/>
            </w:tcBorders>
          </w:tcPr>
          <w:p>
            <w:pPr>
              <w:pStyle w:val="CompactTableText"/>
              <w:bidi w:val="0"/>
              <w:spacing w:lineRule="auto" w:line="264" w:before="0" w:after="43"/>
              <w:jc w:val="start"/>
              <w:rPr/>
            </w:pPr>
            <w:r>
              <w:rPr>
                <w:rStyle w:val="Tb"/>
              </w:rPr>
              <w:t>Basis and public-source value</w:t>
            </w:r>
          </w:p>
        </w:tc>
        <w:tc>
          <w:tcPr>
            <w:tcW w:w="3600" w:type="dxa"/>
            <w:tcBorders>
              <w:bottom w:val="single" w:sz="2" w:space="0" w:color="CCCCCC"/>
            </w:tcBorders>
          </w:tcPr>
          <w:p>
            <w:pPr>
              <w:pStyle w:val="CompactTableText"/>
              <w:bidi w:val="0"/>
              <w:spacing w:lineRule="auto" w:line="264" w:before="0" w:after="43"/>
              <w:jc w:val="start"/>
              <w:rPr/>
            </w:pPr>
            <w:r>
              <w:rPr>
                <w:rStyle w:val="Tb"/>
              </w:rPr>
              <w:t>Selection and disagreement or limit</w:t>
            </w:r>
          </w:p>
        </w:tc>
      </w:tr>
      <w:tr>
        <w:trPr/>
        <w:tc>
          <w:tcPr>
            <w:tcW w:w="2160" w:type="dxa"/>
            <w:tcBorders>
              <w:bottom w:val="single" w:sz="2" w:space="0" w:color="CCCCCC"/>
            </w:tcBorders>
          </w:tcPr>
          <w:p>
            <w:pPr>
              <w:pStyle w:val="CompactTableText"/>
              <w:bidi w:val="0"/>
              <w:spacing w:lineRule="auto" w:line="264" w:before="0" w:after="43"/>
              <w:jc w:val="start"/>
              <w:rPr/>
            </w:pPr>
            <w:r>
              <w:rPr/>
              <w:t>C08: Initial assembled torque</w:t>
            </w:r>
          </w:p>
        </w:tc>
        <w:tc>
          <w:tcPr>
            <w:tcW w:w="3600" w:type="dxa"/>
            <w:tcBorders>
              <w:bottom w:val="single" w:sz="2" w:space="0" w:color="CCCCCC"/>
            </w:tcBorders>
          </w:tcPr>
          <w:p>
            <w:pPr>
              <w:pStyle w:val="CompactTableText"/>
              <w:bidi w:val="0"/>
              <w:spacing w:lineRule="auto" w:line="264" w:before="0" w:after="43"/>
              <w:jc w:val="start"/>
              <w:rPr/>
            </w:pPr>
            <w:r>
              <w:rPr/>
              <w:t>10 N m; active benchmark</w:t>
            </w:r>
          </w:p>
        </w:tc>
        <w:tc>
          <w:tcPr>
            <w:tcW w:w="3600" w:type="dxa"/>
            <w:tcBorders>
              <w:bottom w:val="single" w:sz="2" w:space="0" w:color="CCCCCC"/>
            </w:tcBorders>
          </w:tcPr>
          <w:p>
            <w:pPr>
              <w:pStyle w:val="CompactTableText"/>
              <w:bidi w:val="0"/>
              <w:spacing w:lineRule="auto" w:line="264" w:before="0" w:after="43"/>
              <w:jc w:val="start"/>
              <w:rPr/>
            </w:pPr>
            <w:r>
              <w:rPr/>
              <w:t>benchmark policy choice; M; 10; Cover installation</w:t>
            </w:r>
          </w:p>
        </w:tc>
        <w:tc>
          <w:tcPr>
            <w:tcW w:w="3600" w:type="dxa"/>
            <w:tcBorders>
              <w:bottom w:val="single" w:sz="2" w:space="0" w:color="CCCCCC"/>
            </w:tcBorders>
          </w:tcPr>
          <w:p>
            <w:pPr>
              <w:pStyle w:val="CompactTableText"/>
              <w:bidi w:val="0"/>
              <w:spacing w:lineRule="auto" w:line="264" w:before="0" w:after="43"/>
              <w:jc w:val="start"/>
              <w:rPr/>
            </w:pPr>
            <w:r>
              <w:rPr/>
              <w:t>Authored initial state uses final service value</w:t>
            </w:r>
          </w:p>
        </w:tc>
      </w:tr>
      <w:tr>
        <w:trPr/>
        <w:tc>
          <w:tcPr>
            <w:tcW w:w="2160" w:type="dxa"/>
            <w:tcBorders>
              <w:bottom w:val="single" w:sz="2" w:space="0" w:color="CCCCCC"/>
            </w:tcBorders>
          </w:tcPr>
          <w:p>
            <w:pPr>
              <w:pStyle w:val="CompactTableText"/>
              <w:bidi w:val="0"/>
              <w:spacing w:lineRule="auto" w:line="264" w:before="0" w:after="43"/>
              <w:jc w:val="start"/>
              <w:rPr/>
            </w:pPr>
            <w:r>
              <w:rPr/>
              <w:t>C09: Local oil and sealant treatment</w:t>
            </w:r>
          </w:p>
        </w:tc>
        <w:tc>
          <w:tcPr>
            <w:tcW w:w="3600" w:type="dxa"/>
            <w:tcBorders>
              <w:bottom w:val="single" w:sz="2" w:space="0" w:color="CCCCCC"/>
            </w:tcBorders>
          </w:tcPr>
          <w:p>
            <w:pPr>
              <w:pStyle w:val="CompactTableText"/>
              <w:bidi w:val="0"/>
              <w:spacing w:lineRule="auto" w:line="264" w:before="0" w:after="43"/>
              <w:jc w:val="start"/>
              <w:rPr/>
            </w:pPr>
            <w:r>
              <w:rPr/>
              <w:t>oil tube seals; inspect for damage; sealant at specified cam-holder corners criterion; active benchmark</w:t>
            </w:r>
          </w:p>
        </w:tc>
        <w:tc>
          <w:tcPr>
            <w:tcW w:w="3600" w:type="dxa"/>
            <w:tcBorders>
              <w:bottom w:val="single" w:sz="2" w:space="0" w:color="CCCCCC"/>
            </w:tcBorders>
          </w:tcPr>
          <w:p>
            <w:pPr>
              <w:pStyle w:val="CompactTableText"/>
              <w:bidi w:val="0"/>
              <w:spacing w:lineRule="auto" w:line="264" w:before="0" w:after="43"/>
              <w:jc w:val="start"/>
              <w:rPr/>
            </w:pPr>
            <w:r>
              <w:rPr/>
              <w:t>public source-supported; M|S1; local oil, damage inspection and liquid-gasket treatment; M 6-55 step12 and application note; S1 printed page17</w:t>
            </w:r>
          </w:p>
        </w:tc>
        <w:tc>
          <w:tcPr>
            <w:tcW w:w="3600" w:type="dxa"/>
            <w:tcBorders>
              <w:bottom w:val="single" w:sz="2" w:space="0" w:color="CCCCCC"/>
            </w:tcBorders>
          </w:tcPr>
          <w:p>
            <w:pPr>
              <w:pStyle w:val="CompactTableText"/>
              <w:bidi w:val="0"/>
              <w:spacing w:lineRule="auto" w:line="264" w:before="0" w:after="43"/>
              <w:jc w:val="start"/>
              <w:rPr/>
            </w:pPr>
            <w:r>
              <w:rPr/>
              <w:t>Separate cover treatment from dry head MLS gasket Reviewed instruction does not establish unconditional new cover-gasket replacement.</w:t>
            </w:r>
          </w:p>
        </w:tc>
      </w:tr>
      <w:tr>
        <w:trPr/>
        <w:tc>
          <w:tcPr>
            <w:tcW w:w="2160" w:type="dxa"/>
            <w:tcBorders>
              <w:bottom w:val="single" w:sz="2" w:space="0" w:color="CCCCCC"/>
            </w:tcBorders>
          </w:tcPr>
          <w:p>
            <w:pPr>
              <w:pStyle w:val="CompactTableText"/>
              <w:bidi w:val="0"/>
              <w:spacing w:lineRule="auto" w:line="264" w:before="0" w:after="43"/>
              <w:jc w:val="start"/>
              <w:rPr/>
            </w:pPr>
            <w:r>
              <w:rPr/>
              <w:t>C10: Retained reference replacement</w:t>
            </w:r>
          </w:p>
        </w:tc>
        <w:tc>
          <w:tcPr>
            <w:tcW w:w="3600" w:type="dxa"/>
            <w:tcBorders>
              <w:bottom w:val="single" w:sz="2" w:space="0" w:color="CCCCCC"/>
            </w:tcBorders>
          </w:tcPr>
          <w:p>
            <w:pPr>
              <w:pStyle w:val="CompactTableText"/>
              <w:bidi w:val="0"/>
              <w:spacing w:lineRule="auto" w:line="264" w:before="0" w:after="43"/>
              <w:jc w:val="start"/>
              <w:rPr/>
            </w:pPr>
            <w:r>
              <w:rPr/>
              <w:t>new distinct cover gasket criterion; retained scripted reference; current acceptance listed in C11</w:t>
            </w:r>
          </w:p>
        </w:tc>
        <w:tc>
          <w:tcPr>
            <w:tcW w:w="3600" w:type="dxa"/>
            <w:tcBorders>
              <w:bottom w:val="single" w:sz="2" w:space="0" w:color="CCCCCC"/>
            </w:tcBorders>
          </w:tcPr>
          <w:p>
            <w:pPr>
              <w:pStyle w:val="CompactTableText"/>
              <w:bidi w:val="0"/>
              <w:spacing w:lineRule="auto" w:line="264" w:before="0" w:after="43"/>
              <w:jc w:val="start"/>
              <w:rPr/>
            </w:pPr>
            <w:r>
              <w:rPr/>
              <w:t>benchmark policy choice</w:t>
            </w:r>
          </w:p>
        </w:tc>
        <w:tc>
          <w:tcPr>
            <w:tcW w:w="3600" w:type="dxa"/>
            <w:tcBorders>
              <w:bottom w:val="single" w:sz="2" w:space="0" w:color="CCCCCC"/>
            </w:tcBorders>
          </w:tcPr>
          <w:p>
            <w:pPr>
              <w:pStyle w:val="CompactTableText"/>
              <w:bidi w:val="0"/>
              <w:spacing w:lineRule="auto" w:line="264" w:before="0" w:after="43"/>
              <w:jc w:val="start"/>
              <w:rPr/>
            </w:pPr>
            <w:r>
              <w:rPr/>
              <w:t>Preserve the replacement performed by the recorded reference The original mandatory both-new checkpoint rule is withdrawn. Do not cite the mandatory new HEAD gasket instruction as cover-gasket evidence.</w:t>
            </w:r>
          </w:p>
        </w:tc>
      </w:tr>
      <w:tr>
        <w:trPr/>
        <w:tc>
          <w:tcPr>
            <w:tcW w:w="2160" w:type="dxa"/>
            <w:tcBorders>
              <w:bottom w:val="single" w:sz="2" w:space="0" w:color="CCCCCC"/>
            </w:tcBorders>
          </w:tcPr>
          <w:p>
            <w:pPr>
              <w:pStyle w:val="CompactTableText"/>
              <w:bidi w:val="0"/>
              <w:spacing w:lineRule="auto" w:line="264" w:before="0" w:after="43"/>
              <w:jc w:val="start"/>
              <w:rPr/>
            </w:pPr>
            <w:r>
              <w:rPr/>
              <w:t>S01: Head flatness decision limit</w:t>
            </w:r>
          </w:p>
        </w:tc>
        <w:tc>
          <w:tcPr>
            <w:tcW w:w="3600" w:type="dxa"/>
            <w:tcBorders>
              <w:bottom w:val="single" w:sz="2" w:space="0" w:color="CCCCCC"/>
            </w:tcBorders>
          </w:tcPr>
          <w:p>
            <w:pPr>
              <w:pStyle w:val="CompactTableText"/>
              <w:bidi w:val="0"/>
              <w:spacing w:lineRule="auto" w:line="264" w:before="0" w:after="43"/>
              <w:jc w:val="start"/>
              <w:rPr/>
            </w:pPr>
            <w:r>
              <w:rPr/>
              <w:t>0.05 mm; active benchmark</w:t>
            </w:r>
          </w:p>
        </w:tc>
        <w:tc>
          <w:tcPr>
            <w:tcW w:w="3600" w:type="dxa"/>
            <w:tcBorders>
              <w:bottom w:val="single" w:sz="2" w:space="0" w:color="CCCCCC"/>
            </w:tcBorders>
          </w:tcPr>
          <w:p>
            <w:pPr>
              <w:pStyle w:val="CompactTableText"/>
              <w:bidi w:val="0"/>
              <w:spacing w:lineRule="auto" w:line="264" w:before="0" w:after="43"/>
              <w:jc w:val="start"/>
              <w:rPr/>
            </w:pPr>
            <w:r>
              <w:rPr/>
              <w:t>benchmark policy choice; M; 0.05 mm conditional resurfacing criterion; Printed6-45</w:t>
            </w:r>
          </w:p>
        </w:tc>
        <w:tc>
          <w:tcPr>
            <w:tcW w:w="3600" w:type="dxa"/>
            <w:tcBorders>
              <w:bottom w:val="single" w:sz="2" w:space="0" w:color="CCCCCC"/>
            </w:tcBorders>
          </w:tcPr>
          <w:p>
            <w:pPr>
              <w:pStyle w:val="CompactTableText"/>
              <w:bidi w:val="0"/>
              <w:spacing w:lineRule="auto" w:line="264" w:before="0" w:after="43"/>
              <w:jc w:val="start"/>
              <w:rPr/>
            </w:pPr>
            <w:r>
              <w:rPr/>
              <w:t>Simplify related conditional service guidance into one benchmark decision Real resurfacing also depends on head height and cam-holder clearances.</w:t>
            </w:r>
          </w:p>
        </w:tc>
      </w:tr>
      <w:tr>
        <w:trPr/>
        <w:tc>
          <w:tcPr>
            <w:tcW w:w="2160" w:type="dxa"/>
            <w:tcBorders>
              <w:bottom w:val="single" w:sz="2" w:space="0" w:color="CCCCCC"/>
            </w:tcBorders>
          </w:tcPr>
          <w:p>
            <w:pPr>
              <w:pStyle w:val="CompactTableText"/>
              <w:bidi w:val="0"/>
              <w:spacing w:lineRule="auto" w:line="264" w:before="0" w:after="43"/>
              <w:jc w:val="start"/>
              <w:rPr/>
            </w:pPr>
            <w:r>
              <w:rPr/>
              <w:t>S02: Block flatness decision limit</w:t>
            </w:r>
          </w:p>
        </w:tc>
        <w:tc>
          <w:tcPr>
            <w:tcW w:w="3600" w:type="dxa"/>
            <w:tcBorders>
              <w:bottom w:val="single" w:sz="2" w:space="0" w:color="CCCCCC"/>
            </w:tcBorders>
          </w:tcPr>
          <w:p>
            <w:pPr>
              <w:pStyle w:val="CompactTableText"/>
              <w:bidi w:val="0"/>
              <w:spacing w:lineRule="auto" w:line="264" w:before="0" w:after="43"/>
              <w:jc w:val="start"/>
              <w:rPr/>
            </w:pPr>
            <w:r>
              <w:rPr/>
              <w:t>0.05 mm; active benchmark</w:t>
            </w:r>
          </w:p>
        </w:tc>
        <w:tc>
          <w:tcPr>
            <w:tcW w:w="3600" w:type="dxa"/>
            <w:tcBorders>
              <w:bottom w:val="single" w:sz="2" w:space="0" w:color="CCCCCC"/>
            </w:tcBorders>
          </w:tcPr>
          <w:p>
            <w:pPr>
              <w:pStyle w:val="CompactTableText"/>
              <w:bidi w:val="0"/>
              <w:spacing w:lineRule="auto" w:line="264" w:before="0" w:after="43"/>
              <w:jc w:val="start"/>
              <w:rPr/>
            </w:pPr>
            <w:r>
              <w:rPr/>
              <w:t>benchmark policy choice; M; 0.07 mm standard;0.10 mm service; Printed7-12</w:t>
            </w:r>
          </w:p>
        </w:tc>
        <w:tc>
          <w:tcPr>
            <w:tcW w:w="3600" w:type="dxa"/>
            <w:tcBorders>
              <w:bottom w:val="single" w:sz="2" w:space="0" w:color="CCCCCC"/>
            </w:tcBorders>
          </w:tcPr>
          <w:p>
            <w:pPr>
              <w:pStyle w:val="CompactTableText"/>
              <w:bidi w:val="0"/>
              <w:spacing w:lineRule="auto" w:line="264" w:before="0" w:after="43"/>
              <w:jc w:val="start"/>
              <w:rPr/>
            </w:pPr>
            <w:r>
              <w:rPr/>
              <w:t>Common stricter benchmark limit across both surfaces Do not label0.05 mm as the public block service limit; S1 lists0.079 mm standard.</w:t>
            </w:r>
          </w:p>
        </w:tc>
      </w:tr>
    </w:tbl>
    <w:p>
      <w:pPr>
        <w:pStyle w:val="LandscapeFigureHeading"/>
        <w:bidi w:val="0"/>
        <w:jc w:val="start"/>
        <w:rPr/>
      </w:pPr>
      <w:r>
        <w:rPr/>
        <w:t>Appendix C. Engineering specifications — S03 to S07</w:t>
      </w:r>
    </w:p>
    <w:p>
      <w:pPr>
        <w:pStyle w:val="TableCaption"/>
        <w:keepNext w:val="true"/>
        <w:bidi w:val="0"/>
        <w:jc w:val="start"/>
        <w:rPr/>
      </w:pPr>
      <w:r>
        <w:rPr/>
        <w:t>Table 15. Appendix C. Engineering specifications — S03 to S07</w:t>
      </w:r>
    </w:p>
    <w:tbl>
      <w:tblPr>
        <w:tblW w:w="12960" w:type="dxa"/>
        <w:jc w:val="start"/>
        <w:tblInd w:w="0" w:type="dxa"/>
        <w:tblLayout w:type="fixed"/>
        <w:tblCellMar>
          <w:top w:w="58" w:type="dxa"/>
          <w:start w:w="58" w:type="dxa"/>
          <w:bottom w:w="58" w:type="dxa"/>
          <w:end w:w="58" w:type="dxa"/>
        </w:tblCellMar>
      </w:tblPr>
      <w:tblGrid>
        <w:gridCol w:w="2160"/>
        <w:gridCol w:w="3600"/>
        <w:gridCol w:w="3600"/>
        <w:gridCol w:w="3600"/>
      </w:tblGrid>
      <w:tr>
        <w:trPr/>
        <w:tc>
          <w:tcPr>
            <w:tcW w:w="2160" w:type="dxa"/>
            <w:tcBorders>
              <w:bottom w:val="single" w:sz="2" w:space="0" w:color="CCCCCC"/>
            </w:tcBorders>
          </w:tcPr>
          <w:p>
            <w:pPr>
              <w:pStyle w:val="CompactTableText"/>
              <w:bidi w:val="0"/>
              <w:spacing w:lineRule="auto" w:line="264" w:before="0" w:after="43"/>
              <w:jc w:val="start"/>
              <w:rPr/>
            </w:pPr>
            <w:r>
              <w:rPr>
                <w:rStyle w:val="Tb"/>
              </w:rPr>
              <w:t>Specification</w:t>
            </w:r>
          </w:p>
        </w:tc>
        <w:tc>
          <w:tcPr>
            <w:tcW w:w="3600" w:type="dxa"/>
            <w:tcBorders>
              <w:bottom w:val="single" w:sz="2" w:space="0" w:color="CCCCCC"/>
            </w:tcBorders>
          </w:tcPr>
          <w:p>
            <w:pPr>
              <w:pStyle w:val="CompactTableText"/>
              <w:bidi w:val="0"/>
              <w:spacing w:lineRule="auto" w:line="264" w:before="0" w:after="43"/>
              <w:jc w:val="start"/>
              <w:rPr/>
            </w:pPr>
            <w:r>
              <w:rPr>
                <w:rStyle w:val="Tb"/>
              </w:rPr>
              <w:t>Benchmark value and scope</w:t>
            </w:r>
          </w:p>
        </w:tc>
        <w:tc>
          <w:tcPr>
            <w:tcW w:w="3600" w:type="dxa"/>
            <w:tcBorders>
              <w:bottom w:val="single" w:sz="2" w:space="0" w:color="CCCCCC"/>
            </w:tcBorders>
          </w:tcPr>
          <w:p>
            <w:pPr>
              <w:pStyle w:val="CompactTableText"/>
              <w:bidi w:val="0"/>
              <w:spacing w:lineRule="auto" w:line="264" w:before="0" w:after="43"/>
              <w:jc w:val="start"/>
              <w:rPr/>
            </w:pPr>
            <w:r>
              <w:rPr>
                <w:rStyle w:val="Tb"/>
              </w:rPr>
              <w:t>Basis and public-source value</w:t>
            </w:r>
          </w:p>
        </w:tc>
        <w:tc>
          <w:tcPr>
            <w:tcW w:w="3600" w:type="dxa"/>
            <w:tcBorders>
              <w:bottom w:val="single" w:sz="2" w:space="0" w:color="CCCCCC"/>
            </w:tcBorders>
          </w:tcPr>
          <w:p>
            <w:pPr>
              <w:pStyle w:val="CompactTableText"/>
              <w:bidi w:val="0"/>
              <w:spacing w:lineRule="auto" w:line="264" w:before="0" w:after="43"/>
              <w:jc w:val="start"/>
              <w:rPr/>
            </w:pPr>
            <w:r>
              <w:rPr>
                <w:rStyle w:val="Tb"/>
              </w:rPr>
              <w:t>Selection and disagreement or limit</w:t>
            </w:r>
          </w:p>
        </w:tc>
      </w:tr>
      <w:tr>
        <w:trPr/>
        <w:tc>
          <w:tcPr>
            <w:tcW w:w="2160" w:type="dxa"/>
            <w:tcBorders>
              <w:bottom w:val="single" w:sz="2" w:space="0" w:color="CCCCCC"/>
            </w:tcBorders>
          </w:tcPr>
          <w:p>
            <w:pPr>
              <w:pStyle w:val="CompactTableText"/>
              <w:bidi w:val="0"/>
              <w:spacing w:lineRule="auto" w:line="264" w:before="0" w:after="43"/>
              <w:jc w:val="start"/>
              <w:rPr/>
            </w:pPr>
            <w:r>
              <w:rPr/>
              <w:t>S03: Normal initial head/deck/cover flatness</w:t>
            </w:r>
          </w:p>
        </w:tc>
        <w:tc>
          <w:tcPr>
            <w:tcW w:w="3600" w:type="dxa"/>
            <w:tcBorders>
              <w:bottom w:val="single" w:sz="2" w:space="0" w:color="CCCCCC"/>
            </w:tcBorders>
          </w:tcPr>
          <w:p>
            <w:pPr>
              <w:pStyle w:val="CompactTableText"/>
              <w:bidi w:val="0"/>
              <w:spacing w:lineRule="auto" w:line="264" w:before="0" w:after="43"/>
              <w:jc w:val="start"/>
              <w:rPr/>
            </w:pPr>
            <w:r>
              <w:rPr/>
              <w:t>0.02 mm; active benchmark</w:t>
            </w:r>
          </w:p>
        </w:tc>
        <w:tc>
          <w:tcPr>
            <w:tcW w:w="3600" w:type="dxa"/>
            <w:tcBorders>
              <w:bottom w:val="single" w:sz="2" w:space="0" w:color="CCCCCC"/>
            </w:tcBorders>
          </w:tcPr>
          <w:p>
            <w:pPr>
              <w:pStyle w:val="CompactTableText"/>
              <w:bidi w:val="0"/>
              <w:spacing w:lineRule="auto" w:line="264" w:before="0" w:after="43"/>
              <w:jc w:val="start"/>
              <w:rPr/>
            </w:pPr>
            <w:r>
              <w:rPr/>
              <w:t>benchmark policy choice</w:t>
            </w:r>
          </w:p>
        </w:tc>
        <w:tc>
          <w:tcPr>
            <w:tcW w:w="3600" w:type="dxa"/>
            <w:tcBorders>
              <w:bottom w:val="single" w:sz="2" w:space="0" w:color="CCCCCC"/>
            </w:tcBorders>
          </w:tcPr>
          <w:p>
            <w:pPr>
              <w:pStyle w:val="CompactTableText"/>
              <w:bidi w:val="0"/>
              <w:spacing w:lineRule="auto" w:line="264" w:before="0" w:after="43"/>
              <w:jc w:val="start"/>
              <w:rPr/>
            </w:pPr>
            <w:r>
              <w:rPr/>
              <w:t>Authored standard-state measurements</w:t>
            </w:r>
          </w:p>
        </w:tc>
      </w:tr>
      <w:tr>
        <w:trPr/>
        <w:tc>
          <w:tcPr>
            <w:tcW w:w="2160" w:type="dxa"/>
            <w:tcBorders>
              <w:bottom w:val="single" w:sz="2" w:space="0" w:color="CCCCCC"/>
            </w:tcBorders>
          </w:tcPr>
          <w:p>
            <w:pPr>
              <w:pStyle w:val="CompactTableText"/>
              <w:bidi w:val="0"/>
              <w:spacing w:lineRule="auto" w:line="264" w:before="0" w:after="43"/>
              <w:jc w:val="start"/>
              <w:rPr/>
            </w:pPr>
            <w:r>
              <w:rPr/>
              <w:t>S04: V3 initial head flatness</w:t>
            </w:r>
          </w:p>
        </w:tc>
        <w:tc>
          <w:tcPr>
            <w:tcW w:w="3600" w:type="dxa"/>
            <w:tcBorders>
              <w:bottom w:val="single" w:sz="2" w:space="0" w:color="CCCCCC"/>
            </w:tcBorders>
          </w:tcPr>
          <w:p>
            <w:pPr>
              <w:pStyle w:val="CompactTableText"/>
              <w:bidi w:val="0"/>
              <w:spacing w:lineRule="auto" w:line="264" w:before="0" w:after="43"/>
              <w:jc w:val="start"/>
              <w:rPr/>
            </w:pPr>
            <w:r>
              <w:rPr/>
              <w:t>0.08 mm; active benchmark</w:t>
            </w:r>
          </w:p>
        </w:tc>
        <w:tc>
          <w:tcPr>
            <w:tcW w:w="3600" w:type="dxa"/>
            <w:tcBorders>
              <w:bottom w:val="single" w:sz="2" w:space="0" w:color="CCCCCC"/>
            </w:tcBorders>
          </w:tcPr>
          <w:p>
            <w:pPr>
              <w:pStyle w:val="CompactTableText"/>
              <w:bidi w:val="0"/>
              <w:spacing w:lineRule="auto" w:line="264" w:before="0" w:after="43"/>
              <w:jc w:val="start"/>
              <w:rPr/>
            </w:pPr>
            <w:r>
              <w:rPr/>
              <w:t>benchmark policy choice</w:t>
            </w:r>
          </w:p>
        </w:tc>
        <w:tc>
          <w:tcPr>
            <w:tcW w:w="3600" w:type="dxa"/>
            <w:tcBorders>
              <w:bottom w:val="single" w:sz="2" w:space="0" w:color="CCCCCC"/>
            </w:tcBorders>
          </w:tcPr>
          <w:p>
            <w:pPr>
              <w:pStyle w:val="CompactTableText"/>
              <w:bidi w:val="0"/>
              <w:spacing w:lineRule="auto" w:line="264" w:before="0" w:after="43"/>
              <w:jc w:val="start"/>
              <w:rPr/>
            </w:pPr>
            <w:r>
              <w:rPr/>
              <w:t>Authored head exceeds benchmark0.05 mm limit</w:t>
            </w:r>
          </w:p>
        </w:tc>
      </w:tr>
      <w:tr>
        <w:trPr/>
        <w:tc>
          <w:tcPr>
            <w:tcW w:w="2160" w:type="dxa"/>
            <w:tcBorders>
              <w:bottom w:val="single" w:sz="2" w:space="0" w:color="CCCCCC"/>
            </w:tcBorders>
          </w:tcPr>
          <w:p>
            <w:pPr>
              <w:pStyle w:val="CompactTableText"/>
              <w:bidi w:val="0"/>
              <w:spacing w:lineRule="auto" w:line="264" w:before="0" w:after="43"/>
              <w:jc w:val="start"/>
              <w:rPr/>
            </w:pPr>
            <w:r>
              <w:rPr/>
              <w:t>S05: Material removed by machine_head</w:t>
            </w:r>
          </w:p>
        </w:tc>
        <w:tc>
          <w:tcPr>
            <w:tcW w:w="3600" w:type="dxa"/>
            <w:tcBorders>
              <w:bottom w:val="single" w:sz="2" w:space="0" w:color="CCCCCC"/>
            </w:tcBorders>
          </w:tcPr>
          <w:p>
            <w:pPr>
              <w:pStyle w:val="CompactTableText"/>
              <w:bidi w:val="0"/>
              <w:spacing w:lineRule="auto" w:line="264" w:before="0" w:after="43"/>
              <w:jc w:val="start"/>
              <w:rPr/>
            </w:pPr>
            <w:r>
              <w:rPr/>
              <w:t>0.06 mm; active benchmark</w:t>
            </w:r>
          </w:p>
        </w:tc>
        <w:tc>
          <w:tcPr>
            <w:tcW w:w="3600" w:type="dxa"/>
            <w:tcBorders>
              <w:bottom w:val="single" w:sz="2" w:space="0" w:color="CCCCCC"/>
            </w:tcBorders>
          </w:tcPr>
          <w:p>
            <w:pPr>
              <w:pStyle w:val="CompactTableText"/>
              <w:bidi w:val="0"/>
              <w:spacing w:lineRule="auto" w:line="264" w:before="0" w:after="43"/>
              <w:jc w:val="start"/>
              <w:rPr/>
            </w:pPr>
            <w:r>
              <w:rPr/>
              <w:t>benchmark policy choice</w:t>
            </w:r>
          </w:p>
        </w:tc>
        <w:tc>
          <w:tcPr>
            <w:tcW w:w="3600" w:type="dxa"/>
            <w:tcBorders>
              <w:bottom w:val="single" w:sz="2" w:space="0" w:color="CCCCCC"/>
            </w:tcBorders>
          </w:tcPr>
          <w:p>
            <w:pPr>
              <w:pStyle w:val="CompactTableText"/>
              <w:bidi w:val="0"/>
              <w:spacing w:lineRule="auto" w:line="264" w:before="0" w:after="43"/>
              <w:jc w:val="start"/>
              <w:rPr/>
            </w:pPr>
            <w:r>
              <w:rPr/>
              <w:t>Deterministic service-result stand-in Eligibility does not model actual head height or cam-holder geometry.</w:t>
            </w:r>
          </w:p>
        </w:tc>
      </w:tr>
      <w:tr>
        <w:trPr/>
        <w:tc>
          <w:tcPr>
            <w:tcW w:w="2160" w:type="dxa"/>
            <w:tcBorders>
              <w:bottom w:val="single" w:sz="2" w:space="0" w:color="CCCCCC"/>
            </w:tcBorders>
          </w:tcPr>
          <w:p>
            <w:pPr>
              <w:pStyle w:val="CompactTableText"/>
              <w:bidi w:val="0"/>
              <w:spacing w:lineRule="auto" w:line="264" w:before="0" w:after="43"/>
              <w:jc w:val="start"/>
              <w:rPr/>
            </w:pPr>
            <w:r>
              <w:rPr/>
              <w:t>S06: Post-service head flatness</w:t>
            </w:r>
          </w:p>
        </w:tc>
        <w:tc>
          <w:tcPr>
            <w:tcW w:w="3600" w:type="dxa"/>
            <w:tcBorders>
              <w:bottom w:val="single" w:sz="2" w:space="0" w:color="CCCCCC"/>
            </w:tcBorders>
          </w:tcPr>
          <w:p>
            <w:pPr>
              <w:pStyle w:val="CompactTableText"/>
              <w:bidi w:val="0"/>
              <w:spacing w:lineRule="auto" w:line="264" w:before="0" w:after="43"/>
              <w:jc w:val="start"/>
              <w:rPr/>
            </w:pPr>
            <w:r>
              <w:rPr/>
              <w:t>0.02 mm; active benchmark</w:t>
            </w:r>
          </w:p>
        </w:tc>
        <w:tc>
          <w:tcPr>
            <w:tcW w:w="3600" w:type="dxa"/>
            <w:tcBorders>
              <w:bottom w:val="single" w:sz="2" w:space="0" w:color="CCCCCC"/>
            </w:tcBorders>
          </w:tcPr>
          <w:p>
            <w:pPr>
              <w:pStyle w:val="CompactTableText"/>
              <w:bidi w:val="0"/>
              <w:spacing w:lineRule="auto" w:line="264" w:before="0" w:after="43"/>
              <w:jc w:val="start"/>
              <w:rPr/>
            </w:pPr>
            <w:r>
              <w:rPr/>
              <w:t>benchmark policy choice</w:t>
            </w:r>
          </w:p>
        </w:tc>
        <w:tc>
          <w:tcPr>
            <w:tcW w:w="3600" w:type="dxa"/>
            <w:tcBorders>
              <w:bottom w:val="single" w:sz="2" w:space="0" w:color="CCCCCC"/>
            </w:tcBorders>
          </w:tcPr>
          <w:p>
            <w:pPr>
              <w:pStyle w:val="CompactTableText"/>
              <w:bidi w:val="0"/>
              <w:spacing w:lineRule="auto" w:line="264" w:before="0" w:after="43"/>
              <w:jc w:val="start"/>
              <w:rPr/>
            </w:pPr>
            <w:r>
              <w:rPr/>
              <w:t>Authored recovered state for machining or replacement</w:t>
            </w:r>
          </w:p>
        </w:tc>
      </w:tr>
      <w:tr>
        <w:trPr/>
        <w:tc>
          <w:tcPr>
            <w:tcW w:w="2160" w:type="dxa"/>
            <w:tcBorders>
              <w:bottom w:val="single" w:sz="2" w:space="0" w:color="CCCCCC"/>
            </w:tcBorders>
          </w:tcPr>
          <w:p>
            <w:pPr>
              <w:pStyle w:val="CompactTableText"/>
              <w:bidi w:val="0"/>
              <w:spacing w:lineRule="auto" w:line="264" w:before="0" w:after="43"/>
              <w:jc w:val="start"/>
              <w:rPr/>
            </w:pPr>
            <w:r>
              <w:rPr/>
              <w:t>S07: Normal/post-service roughness</w:t>
            </w:r>
          </w:p>
        </w:tc>
        <w:tc>
          <w:tcPr>
            <w:tcW w:w="3600" w:type="dxa"/>
            <w:tcBorders>
              <w:bottom w:val="single" w:sz="2" w:space="0" w:color="CCCCCC"/>
            </w:tcBorders>
          </w:tcPr>
          <w:p>
            <w:pPr>
              <w:pStyle w:val="CompactTableText"/>
              <w:bidi w:val="0"/>
              <w:spacing w:lineRule="auto" w:line="264" w:before="0" w:after="43"/>
              <w:jc w:val="start"/>
              <w:rPr/>
            </w:pPr>
            <w:r>
              <w:rPr/>
              <w:t>0.5 um Ra; active benchmark</w:t>
            </w:r>
          </w:p>
        </w:tc>
        <w:tc>
          <w:tcPr>
            <w:tcW w:w="3600" w:type="dxa"/>
            <w:tcBorders>
              <w:bottom w:val="single" w:sz="2" w:space="0" w:color="CCCCCC"/>
            </w:tcBorders>
          </w:tcPr>
          <w:p>
            <w:pPr>
              <w:pStyle w:val="CompactTableText"/>
              <w:bidi w:val="0"/>
              <w:spacing w:lineRule="auto" w:line="264" w:before="0" w:after="43"/>
              <w:jc w:val="start"/>
              <w:rPr/>
            </w:pPr>
            <w:r>
              <w:rPr/>
              <w:t>benchmark policy choice; S3; 50RA or finer; page does not state a unit; Surface Finishing</w:t>
            </w:r>
          </w:p>
        </w:tc>
        <w:tc>
          <w:tcPr>
            <w:tcW w:w="3600" w:type="dxa"/>
            <w:tcBorders>
              <w:bottom w:val="single" w:sz="2" w:space="0" w:color="CCCCCC"/>
            </w:tcBorders>
          </w:tcPr>
          <w:p>
            <w:pPr>
              <w:pStyle w:val="CompactTableText"/>
              <w:bidi w:val="0"/>
              <w:spacing w:lineRule="auto" w:line="264" w:before="0" w:after="43"/>
              <w:jc w:val="start"/>
              <w:rPr/>
            </w:pPr>
            <w:r>
              <w:rPr/>
              <w:t>Declared surface state, not a conversion of the webpage number</w:t>
            </w:r>
          </w:p>
        </w:tc>
      </w:tr>
    </w:tbl>
    <w:p>
      <w:pPr>
        <w:pStyle w:val="LandscapeFigureHeading"/>
        <w:bidi w:val="0"/>
        <w:jc w:val="start"/>
        <w:rPr/>
      </w:pPr>
      <w:r>
        <w:rPr/>
        <w:t>Appendix C. Engineering specifications — S08 to G01</w:t>
      </w:r>
    </w:p>
    <w:p>
      <w:pPr>
        <w:pStyle w:val="TableCaption"/>
        <w:keepNext w:val="true"/>
        <w:bidi w:val="0"/>
        <w:jc w:val="start"/>
        <w:rPr/>
      </w:pPr>
      <w:r>
        <w:rPr/>
        <w:t>Table 16. Appendix C. Engineering specifications — S08 to G01</w:t>
      </w:r>
    </w:p>
    <w:tbl>
      <w:tblPr>
        <w:tblW w:w="12960" w:type="dxa"/>
        <w:jc w:val="start"/>
        <w:tblInd w:w="0" w:type="dxa"/>
        <w:tblLayout w:type="fixed"/>
        <w:tblCellMar>
          <w:top w:w="58" w:type="dxa"/>
          <w:start w:w="58" w:type="dxa"/>
          <w:bottom w:w="58" w:type="dxa"/>
          <w:end w:w="58" w:type="dxa"/>
        </w:tblCellMar>
      </w:tblPr>
      <w:tblGrid>
        <w:gridCol w:w="2160"/>
        <w:gridCol w:w="3600"/>
        <w:gridCol w:w="3600"/>
        <w:gridCol w:w="3600"/>
      </w:tblGrid>
      <w:tr>
        <w:trPr/>
        <w:tc>
          <w:tcPr>
            <w:tcW w:w="2160" w:type="dxa"/>
            <w:tcBorders>
              <w:bottom w:val="single" w:sz="2" w:space="0" w:color="CCCCCC"/>
            </w:tcBorders>
          </w:tcPr>
          <w:p>
            <w:pPr>
              <w:pStyle w:val="CompactTableText"/>
              <w:bidi w:val="0"/>
              <w:spacing w:lineRule="auto" w:line="264" w:before="0" w:after="43"/>
              <w:jc w:val="start"/>
              <w:rPr/>
            </w:pPr>
            <w:r>
              <w:rPr>
                <w:rStyle w:val="Tb"/>
              </w:rPr>
              <w:t>Specification</w:t>
            </w:r>
          </w:p>
        </w:tc>
        <w:tc>
          <w:tcPr>
            <w:tcW w:w="3600" w:type="dxa"/>
            <w:tcBorders>
              <w:bottom w:val="single" w:sz="2" w:space="0" w:color="CCCCCC"/>
            </w:tcBorders>
          </w:tcPr>
          <w:p>
            <w:pPr>
              <w:pStyle w:val="CompactTableText"/>
              <w:bidi w:val="0"/>
              <w:spacing w:lineRule="auto" w:line="264" w:before="0" w:after="43"/>
              <w:jc w:val="start"/>
              <w:rPr/>
            </w:pPr>
            <w:r>
              <w:rPr>
                <w:rStyle w:val="Tb"/>
              </w:rPr>
              <w:t>Benchmark value and scope</w:t>
            </w:r>
          </w:p>
        </w:tc>
        <w:tc>
          <w:tcPr>
            <w:tcW w:w="3600" w:type="dxa"/>
            <w:tcBorders>
              <w:bottom w:val="single" w:sz="2" w:space="0" w:color="CCCCCC"/>
            </w:tcBorders>
          </w:tcPr>
          <w:p>
            <w:pPr>
              <w:pStyle w:val="CompactTableText"/>
              <w:bidi w:val="0"/>
              <w:spacing w:lineRule="auto" w:line="264" w:before="0" w:after="43"/>
              <w:jc w:val="start"/>
              <w:rPr/>
            </w:pPr>
            <w:r>
              <w:rPr>
                <w:rStyle w:val="Tb"/>
              </w:rPr>
              <w:t>Basis and public-source value</w:t>
            </w:r>
          </w:p>
        </w:tc>
        <w:tc>
          <w:tcPr>
            <w:tcW w:w="3600" w:type="dxa"/>
            <w:tcBorders>
              <w:bottom w:val="single" w:sz="2" w:space="0" w:color="CCCCCC"/>
            </w:tcBorders>
          </w:tcPr>
          <w:p>
            <w:pPr>
              <w:pStyle w:val="CompactTableText"/>
              <w:bidi w:val="0"/>
              <w:spacing w:lineRule="auto" w:line="264" w:before="0" w:after="43"/>
              <w:jc w:val="start"/>
              <w:rPr/>
            </w:pPr>
            <w:r>
              <w:rPr>
                <w:rStyle w:val="Tb"/>
              </w:rPr>
              <w:t>Selection and disagreement or limit</w:t>
            </w:r>
          </w:p>
        </w:tc>
      </w:tr>
      <w:tr>
        <w:trPr/>
        <w:tc>
          <w:tcPr>
            <w:tcW w:w="2160" w:type="dxa"/>
            <w:tcBorders>
              <w:bottom w:val="single" w:sz="2" w:space="0" w:color="CCCCCC"/>
            </w:tcBorders>
          </w:tcPr>
          <w:p>
            <w:pPr>
              <w:pStyle w:val="CompactTableText"/>
              <w:bidi w:val="0"/>
              <w:spacing w:lineRule="auto" w:line="264" w:before="0" w:after="43"/>
              <w:jc w:val="start"/>
              <w:rPr/>
            </w:pPr>
            <w:r>
              <w:rPr/>
              <w:t>S08: Abrasive-disc damage roughness</w:t>
            </w:r>
          </w:p>
        </w:tc>
        <w:tc>
          <w:tcPr>
            <w:tcW w:w="3600" w:type="dxa"/>
            <w:tcBorders>
              <w:bottom w:val="single" w:sz="2" w:space="0" w:color="CCCCCC"/>
            </w:tcBorders>
          </w:tcPr>
          <w:p>
            <w:pPr>
              <w:pStyle w:val="CompactTableText"/>
              <w:bidi w:val="0"/>
              <w:spacing w:lineRule="auto" w:line="264" w:before="0" w:after="43"/>
              <w:jc w:val="start"/>
              <w:rPr/>
            </w:pPr>
            <w:r>
              <w:rPr/>
              <w:t>5 um Ra; active benchmark</w:t>
            </w:r>
          </w:p>
        </w:tc>
        <w:tc>
          <w:tcPr>
            <w:tcW w:w="3600" w:type="dxa"/>
            <w:tcBorders>
              <w:bottom w:val="single" w:sz="2" w:space="0" w:color="CCCCCC"/>
            </w:tcBorders>
          </w:tcPr>
          <w:p>
            <w:pPr>
              <w:pStyle w:val="CompactTableText"/>
              <w:bidi w:val="0"/>
              <w:spacing w:lineRule="auto" w:line="264" w:before="0" w:after="43"/>
              <w:jc w:val="start"/>
              <w:rPr/>
            </w:pPr>
            <w:r>
              <w:rPr/>
              <w:t>benchmark policy choice</w:t>
            </w:r>
          </w:p>
        </w:tc>
        <w:tc>
          <w:tcPr>
            <w:tcW w:w="3600" w:type="dxa"/>
            <w:tcBorders>
              <w:bottom w:val="single" w:sz="2" w:space="0" w:color="CCCCCC"/>
            </w:tcBorders>
          </w:tcPr>
          <w:p>
            <w:pPr>
              <w:pStyle w:val="CompactTableText"/>
              <w:bidi w:val="0"/>
              <w:spacing w:lineRule="auto" w:line="264" w:before="0" w:after="43"/>
              <w:jc w:val="start"/>
              <w:rPr/>
            </w:pPr>
            <w:r>
              <w:rPr/>
              <w:t>Authored adverse cleaning outcome No calibrated tool-to-damage law.</w:t>
            </w:r>
          </w:p>
        </w:tc>
      </w:tr>
      <w:tr>
        <w:trPr/>
        <w:tc>
          <w:tcPr>
            <w:tcW w:w="2160" w:type="dxa"/>
            <w:tcBorders>
              <w:bottom w:val="single" w:sz="2" w:space="0" w:color="CCCCCC"/>
            </w:tcBorders>
          </w:tcPr>
          <w:p>
            <w:pPr>
              <w:pStyle w:val="CompactTableText"/>
              <w:bidi w:val="0"/>
              <w:spacing w:lineRule="auto" w:line="264" w:before="0" w:after="43"/>
              <w:jc w:val="start"/>
              <w:rPr/>
            </w:pPr>
            <w:r>
              <w:rPr/>
              <w:t>S09: Ready surface</w:t>
            </w:r>
          </w:p>
        </w:tc>
        <w:tc>
          <w:tcPr>
            <w:tcW w:w="3600" w:type="dxa"/>
            <w:tcBorders>
              <w:bottom w:val="single" w:sz="2" w:space="0" w:color="CCCCCC"/>
            </w:tcBorders>
          </w:tcPr>
          <w:p>
            <w:pPr>
              <w:pStyle w:val="CompactTableText"/>
              <w:bidi w:val="0"/>
              <w:spacing w:lineRule="auto" w:line="264" w:before="0" w:after="43"/>
              <w:jc w:val="start"/>
              <w:rPr/>
            </w:pPr>
            <w:r>
              <w:rPr/>
              <w:t>clean; dry; undamaged; no debris criterion; active benchmark</w:t>
            </w:r>
          </w:p>
        </w:tc>
        <w:tc>
          <w:tcPr>
            <w:tcW w:w="3600" w:type="dxa"/>
            <w:tcBorders>
              <w:bottom w:val="single" w:sz="2" w:space="0" w:color="CCCCCC"/>
            </w:tcBorders>
          </w:tcPr>
          <w:p>
            <w:pPr>
              <w:pStyle w:val="CompactTableText"/>
              <w:bidi w:val="0"/>
              <w:spacing w:lineRule="auto" w:line="264" w:before="0" w:after="43"/>
              <w:jc w:val="start"/>
              <w:rPr/>
            </w:pPr>
            <w:r>
              <w:rPr/>
              <w:t>public source-supported; S3|S4; clean dry mating faces; avoid damaging preparation; MLS installation; surface preparation</w:t>
            </w:r>
          </w:p>
        </w:tc>
        <w:tc>
          <w:tcPr>
            <w:tcW w:w="3600" w:type="dxa"/>
            <w:tcBorders>
              <w:bottom w:val="single" w:sz="2" w:space="0" w:color="CCCCCC"/>
            </w:tcBorders>
          </w:tcPr>
          <w:p>
            <w:pPr>
              <w:pStyle w:val="CompactTableText"/>
              <w:bidi w:val="0"/>
              <w:spacing w:lineRule="auto" w:line="264" w:before="0" w:after="43"/>
              <w:jc w:val="start"/>
              <w:rPr/>
            </w:pPr>
            <w:r>
              <w:rPr/>
              <w:t>Represent inspection conditions separately from loaded deformation</w:t>
            </w:r>
          </w:p>
        </w:tc>
      </w:tr>
      <w:tr>
        <w:trPr/>
        <w:tc>
          <w:tcPr>
            <w:tcW w:w="2160" w:type="dxa"/>
            <w:tcBorders>
              <w:bottom w:val="single" w:sz="2" w:space="0" w:color="CCCCCC"/>
            </w:tcBorders>
          </w:tcPr>
          <w:p>
            <w:pPr>
              <w:pStyle w:val="CompactTableText"/>
              <w:bidi w:val="0"/>
              <w:spacing w:lineRule="auto" w:line="264" w:before="0" w:after="43"/>
              <w:jc w:val="start"/>
              <w:rPr/>
            </w:pPr>
            <w:r>
              <w:rPr/>
              <w:t>S10: Unprotected cleaning debris increment</w:t>
            </w:r>
          </w:p>
        </w:tc>
        <w:tc>
          <w:tcPr>
            <w:tcW w:w="3600" w:type="dxa"/>
            <w:tcBorders>
              <w:bottom w:val="single" w:sz="2" w:space="0" w:color="CCCCCC"/>
            </w:tcBorders>
          </w:tcPr>
          <w:p>
            <w:pPr>
              <w:pStyle w:val="CompactTableText"/>
              <w:bidi w:val="0"/>
              <w:spacing w:lineRule="auto" w:line="264" w:before="0" w:after="43"/>
              <w:jc w:val="start"/>
              <w:rPr/>
            </w:pPr>
            <w:r>
              <w:rPr/>
              <w:t>1 count; active benchmark</w:t>
            </w:r>
          </w:p>
        </w:tc>
        <w:tc>
          <w:tcPr>
            <w:tcW w:w="3600" w:type="dxa"/>
            <w:tcBorders>
              <w:bottom w:val="single" w:sz="2" w:space="0" w:color="CCCCCC"/>
            </w:tcBorders>
          </w:tcPr>
          <w:p>
            <w:pPr>
              <w:pStyle w:val="CompactTableText"/>
              <w:bidi w:val="0"/>
              <w:spacing w:lineRule="auto" w:line="264" w:before="0" w:after="43"/>
              <w:jc w:val="start"/>
              <w:rPr/>
            </w:pPr>
            <w:r>
              <w:rPr/>
              <w:t>benchmark policy choice</w:t>
            </w:r>
          </w:p>
        </w:tc>
        <w:tc>
          <w:tcPr>
            <w:tcW w:w="3600" w:type="dxa"/>
            <w:tcBorders>
              <w:bottom w:val="single" w:sz="2" w:space="0" w:color="CCCCCC"/>
            </w:tcBorders>
          </w:tcPr>
          <w:p>
            <w:pPr>
              <w:pStyle w:val="CompactTableText"/>
              <w:bidi w:val="0"/>
              <w:spacing w:lineRule="auto" w:line="264" w:before="0" w:after="43"/>
              <w:jc w:val="start"/>
              <w:rPr/>
            </w:pPr>
            <w:r>
              <w:rPr/>
              <w:t>Discrete penalty-state observation when openings are unprotected Not a measured particle-generation rate.</w:t>
            </w:r>
          </w:p>
        </w:tc>
      </w:tr>
      <w:tr>
        <w:trPr/>
        <w:tc>
          <w:tcPr>
            <w:tcW w:w="2160" w:type="dxa"/>
            <w:tcBorders>
              <w:bottom w:val="single" w:sz="2" w:space="0" w:color="CCCCCC"/>
            </w:tcBorders>
          </w:tcPr>
          <w:p>
            <w:pPr>
              <w:pStyle w:val="CompactTableText"/>
              <w:bidi w:val="0"/>
              <w:spacing w:lineRule="auto" w:line="264" w:before="0" w:after="43"/>
              <w:jc w:val="start"/>
              <w:rPr/>
            </w:pPr>
            <w:r>
              <w:rPr/>
              <w:t>S11: After-clean residue</w:t>
            </w:r>
          </w:p>
        </w:tc>
        <w:tc>
          <w:tcPr>
            <w:tcW w:w="3600" w:type="dxa"/>
            <w:tcBorders>
              <w:bottom w:val="single" w:sz="2" w:space="0" w:color="CCCCCC"/>
            </w:tcBorders>
          </w:tcPr>
          <w:p>
            <w:pPr>
              <w:pStyle w:val="CompactTableText"/>
              <w:bidi w:val="0"/>
              <w:spacing w:lineRule="auto" w:line="264" w:before="0" w:after="43"/>
              <w:jc w:val="start"/>
              <w:rPr/>
            </w:pPr>
            <w:r>
              <w:rPr/>
              <w:t>0 fraction; active benchmark</w:t>
            </w:r>
          </w:p>
        </w:tc>
        <w:tc>
          <w:tcPr>
            <w:tcW w:w="3600" w:type="dxa"/>
            <w:tcBorders>
              <w:bottom w:val="single" w:sz="2" w:space="0" w:color="CCCCCC"/>
            </w:tcBorders>
          </w:tcPr>
          <w:p>
            <w:pPr>
              <w:pStyle w:val="CompactTableText"/>
              <w:bidi w:val="0"/>
              <w:spacing w:lineRule="auto" w:line="264" w:before="0" w:after="43"/>
              <w:jc w:val="start"/>
              <w:rPr/>
            </w:pPr>
            <w:r>
              <w:rPr/>
              <w:t>benchmark policy choice</w:t>
            </w:r>
          </w:p>
        </w:tc>
        <w:tc>
          <w:tcPr>
            <w:tcW w:w="3600" w:type="dxa"/>
            <w:tcBorders>
              <w:bottom w:val="single" w:sz="2" w:space="0" w:color="CCCCCC"/>
            </w:tcBorders>
          </w:tcPr>
          <w:p>
            <w:pPr>
              <w:pStyle w:val="CompactTableText"/>
              <w:bidi w:val="0"/>
              <w:spacing w:lineRule="auto" w:line="264" w:before="0" w:after="43"/>
              <w:jc w:val="start"/>
              <w:rPr/>
            </w:pPr>
            <w:r>
              <w:rPr/>
              <w:t>Successful cleaning state transition No cleaning kinetics simulated.</w:t>
            </w:r>
          </w:p>
        </w:tc>
      </w:tr>
      <w:tr>
        <w:trPr/>
        <w:tc>
          <w:tcPr>
            <w:tcW w:w="2160" w:type="dxa"/>
            <w:tcBorders>
              <w:bottom w:val="single" w:sz="2" w:space="0" w:color="CCCCCC"/>
            </w:tcBorders>
          </w:tcPr>
          <w:p>
            <w:pPr>
              <w:pStyle w:val="CompactTableText"/>
              <w:bidi w:val="0"/>
              <w:spacing w:lineRule="auto" w:line="264" w:before="0" w:after="43"/>
              <w:jc w:val="start"/>
              <w:rPr/>
            </w:pPr>
            <w:r>
              <w:rPr/>
              <w:t>G01: Correct selected bore</w:t>
            </w:r>
          </w:p>
        </w:tc>
        <w:tc>
          <w:tcPr>
            <w:tcW w:w="3600" w:type="dxa"/>
            <w:tcBorders>
              <w:bottom w:val="single" w:sz="2" w:space="0" w:color="CCCCCC"/>
            </w:tcBorders>
          </w:tcPr>
          <w:p>
            <w:pPr>
              <w:pStyle w:val="CompactTableText"/>
              <w:bidi w:val="0"/>
              <w:spacing w:lineRule="auto" w:line="264" w:before="0" w:after="43"/>
              <w:jc w:val="start"/>
              <w:rPr/>
            </w:pPr>
            <w:r>
              <w:rPr/>
              <w:t>75 mm; active benchmark</w:t>
            </w:r>
          </w:p>
        </w:tc>
        <w:tc>
          <w:tcPr>
            <w:tcW w:w="3600" w:type="dxa"/>
            <w:tcBorders>
              <w:bottom w:val="single" w:sz="2" w:space="0" w:color="CCCCCC"/>
            </w:tcBorders>
          </w:tcPr>
          <w:p>
            <w:pPr>
              <w:pStyle w:val="CompactTableText"/>
              <w:bidi w:val="0"/>
              <w:spacing w:lineRule="auto" w:line="264" w:before="0" w:after="43"/>
              <w:jc w:val="start"/>
              <w:rPr/>
            </w:pPr>
            <w:r>
              <w:rPr/>
              <w:t>benchmark policy choice; S6; 75.5 mm; C4251-030 catalog</w:t>
            </w:r>
          </w:p>
        </w:tc>
        <w:tc>
          <w:tcPr>
            <w:tcW w:w="3600" w:type="dxa"/>
            <w:tcBorders>
              <w:bottom w:val="single" w:sz="2" w:space="0" w:color="CCCCCC"/>
            </w:tcBorders>
          </w:tcPr>
          <w:p>
            <w:pPr>
              <w:pStyle w:val="CompactTableText"/>
              <w:bidi w:val="0"/>
              <w:spacing w:lineRule="auto" w:line="264" w:before="0" w:after="43"/>
              <w:jc w:val="start"/>
              <w:rPr/>
            </w:pPr>
            <w:r>
              <w:rPr/>
              <w:t>Study-design selected stock; B01 overrides related catalog The catalog does not support75 mm as its part dimension.</w:t>
            </w:r>
          </w:p>
        </w:tc>
      </w:tr>
    </w:tbl>
    <w:p>
      <w:pPr>
        <w:pStyle w:val="LandscapeFigureHeading"/>
        <w:bidi w:val="0"/>
        <w:jc w:val="start"/>
        <w:rPr/>
      </w:pPr>
      <w:r>
        <w:rPr/>
        <w:t>Appendix C. Engineering specifications — G02 to G06</w:t>
      </w:r>
    </w:p>
    <w:p>
      <w:pPr>
        <w:pStyle w:val="TableCaption"/>
        <w:keepNext w:val="true"/>
        <w:bidi w:val="0"/>
        <w:jc w:val="start"/>
        <w:rPr/>
      </w:pPr>
      <w:r>
        <w:rPr/>
        <w:t>Table 17. Appendix C. Engineering specifications — G02 to G06</w:t>
      </w:r>
    </w:p>
    <w:tbl>
      <w:tblPr>
        <w:tblW w:w="12960" w:type="dxa"/>
        <w:jc w:val="start"/>
        <w:tblInd w:w="0" w:type="dxa"/>
        <w:tblLayout w:type="fixed"/>
        <w:tblCellMar>
          <w:top w:w="58" w:type="dxa"/>
          <w:start w:w="58" w:type="dxa"/>
          <w:bottom w:w="58" w:type="dxa"/>
          <w:end w:w="58" w:type="dxa"/>
        </w:tblCellMar>
      </w:tblPr>
      <w:tblGrid>
        <w:gridCol w:w="2160"/>
        <w:gridCol w:w="3600"/>
        <w:gridCol w:w="3600"/>
        <w:gridCol w:w="3600"/>
      </w:tblGrid>
      <w:tr>
        <w:trPr/>
        <w:tc>
          <w:tcPr>
            <w:tcW w:w="2160" w:type="dxa"/>
            <w:tcBorders>
              <w:bottom w:val="single" w:sz="2" w:space="0" w:color="CCCCCC"/>
            </w:tcBorders>
          </w:tcPr>
          <w:p>
            <w:pPr>
              <w:pStyle w:val="CompactTableText"/>
              <w:bidi w:val="0"/>
              <w:spacing w:lineRule="auto" w:line="264" w:before="0" w:after="43"/>
              <w:jc w:val="start"/>
              <w:rPr/>
            </w:pPr>
            <w:r>
              <w:rPr>
                <w:rStyle w:val="Tb"/>
              </w:rPr>
              <w:t>Specification</w:t>
            </w:r>
          </w:p>
        </w:tc>
        <w:tc>
          <w:tcPr>
            <w:tcW w:w="3600" w:type="dxa"/>
            <w:tcBorders>
              <w:bottom w:val="single" w:sz="2" w:space="0" w:color="CCCCCC"/>
            </w:tcBorders>
          </w:tcPr>
          <w:p>
            <w:pPr>
              <w:pStyle w:val="CompactTableText"/>
              <w:bidi w:val="0"/>
              <w:spacing w:lineRule="auto" w:line="264" w:before="0" w:after="43"/>
              <w:jc w:val="start"/>
              <w:rPr/>
            </w:pPr>
            <w:r>
              <w:rPr>
                <w:rStyle w:val="Tb"/>
              </w:rPr>
              <w:t>Benchmark value and scope</w:t>
            </w:r>
          </w:p>
        </w:tc>
        <w:tc>
          <w:tcPr>
            <w:tcW w:w="3600" w:type="dxa"/>
            <w:tcBorders>
              <w:bottom w:val="single" w:sz="2" w:space="0" w:color="CCCCCC"/>
            </w:tcBorders>
          </w:tcPr>
          <w:p>
            <w:pPr>
              <w:pStyle w:val="CompactTableText"/>
              <w:bidi w:val="0"/>
              <w:spacing w:lineRule="auto" w:line="264" w:before="0" w:after="43"/>
              <w:jc w:val="start"/>
              <w:rPr/>
            </w:pPr>
            <w:r>
              <w:rPr>
                <w:rStyle w:val="Tb"/>
              </w:rPr>
              <w:t>Basis and public-source value</w:t>
            </w:r>
          </w:p>
        </w:tc>
        <w:tc>
          <w:tcPr>
            <w:tcW w:w="3600" w:type="dxa"/>
            <w:tcBorders>
              <w:bottom w:val="single" w:sz="2" w:space="0" w:color="CCCCCC"/>
            </w:tcBorders>
          </w:tcPr>
          <w:p>
            <w:pPr>
              <w:pStyle w:val="CompactTableText"/>
              <w:bidi w:val="0"/>
              <w:spacing w:lineRule="auto" w:line="264" w:before="0" w:after="43"/>
              <w:jc w:val="start"/>
              <w:rPr/>
            </w:pPr>
            <w:r>
              <w:rPr>
                <w:rStyle w:val="Tb"/>
              </w:rPr>
              <w:t>Selection and disagreement or limit</w:t>
            </w:r>
          </w:p>
        </w:tc>
      </w:tr>
      <w:tr>
        <w:trPr/>
        <w:tc>
          <w:tcPr>
            <w:tcW w:w="2160" w:type="dxa"/>
            <w:tcBorders>
              <w:bottom w:val="single" w:sz="2" w:space="0" w:color="CCCCCC"/>
            </w:tcBorders>
          </w:tcPr>
          <w:p>
            <w:pPr>
              <w:pStyle w:val="CompactTableText"/>
              <w:bidi w:val="0"/>
              <w:spacing w:lineRule="auto" w:line="264" w:before="0" w:after="43"/>
              <w:jc w:val="start"/>
              <w:rPr/>
            </w:pPr>
            <w:r>
              <w:rPr/>
              <w:t>G02: Correct selected compressed thickness</w:t>
            </w:r>
          </w:p>
        </w:tc>
        <w:tc>
          <w:tcPr>
            <w:tcW w:w="3600" w:type="dxa"/>
            <w:tcBorders>
              <w:bottom w:val="single" w:sz="2" w:space="0" w:color="CCCCCC"/>
            </w:tcBorders>
          </w:tcPr>
          <w:p>
            <w:pPr>
              <w:pStyle w:val="CompactTableText"/>
              <w:bidi w:val="0"/>
              <w:spacing w:lineRule="auto" w:line="264" w:before="0" w:after="43"/>
              <w:jc w:val="start"/>
              <w:rPr/>
            </w:pPr>
            <w:r>
              <w:rPr/>
              <w:t>0.762 mm; active benchmark</w:t>
            </w:r>
          </w:p>
        </w:tc>
        <w:tc>
          <w:tcPr>
            <w:tcW w:w="3600" w:type="dxa"/>
            <w:tcBorders>
              <w:bottom w:val="single" w:sz="2" w:space="0" w:color="CCCCCC"/>
            </w:tcBorders>
          </w:tcPr>
          <w:p>
            <w:pPr>
              <w:pStyle w:val="CompactTableText"/>
              <w:bidi w:val="0"/>
              <w:spacing w:lineRule="auto" w:line="264" w:before="0" w:after="43"/>
              <w:jc w:val="start"/>
              <w:rPr/>
            </w:pPr>
            <w:r>
              <w:rPr/>
              <w:t>benchmark policy choice; S6; .030in = .762 mm; C4251-030 catalog</w:t>
            </w:r>
          </w:p>
        </w:tc>
        <w:tc>
          <w:tcPr>
            <w:tcW w:w="3600" w:type="dxa"/>
            <w:tcBorders>
              <w:bottom w:val="single" w:sz="2" w:space="0" w:color="CCCCCC"/>
            </w:tcBorders>
          </w:tcPr>
          <w:p>
            <w:pPr>
              <w:pStyle w:val="CompactTableText"/>
              <w:bidi w:val="0"/>
              <w:spacing w:lineRule="auto" w:line="264" w:before="0" w:after="43"/>
              <w:jc w:val="start"/>
              <w:rPr/>
            </w:pPr>
            <w:r>
              <w:rPr/>
              <w:t>Selected stock definition agrees with related catalog thickness only</w:t>
            </w:r>
          </w:p>
        </w:tc>
      </w:tr>
      <w:tr>
        <w:trPr/>
        <w:tc>
          <w:tcPr>
            <w:tcW w:w="2160" w:type="dxa"/>
            <w:tcBorders>
              <w:bottom w:val="single" w:sz="2" w:space="0" w:color="CCCCCC"/>
            </w:tcBorders>
          </w:tcPr>
          <w:p>
            <w:pPr>
              <w:pStyle w:val="CompactTableText"/>
              <w:bidi w:val="0"/>
              <w:spacing w:lineRule="auto" w:line="264" w:before="0" w:after="43"/>
              <w:jc w:val="start"/>
              <w:rPr/>
            </w:pPr>
            <w:r>
              <w:rPr/>
              <w:t>G03: Correct selected construction</w:t>
            </w:r>
          </w:p>
        </w:tc>
        <w:tc>
          <w:tcPr>
            <w:tcW w:w="3600" w:type="dxa"/>
            <w:tcBorders>
              <w:bottom w:val="single" w:sz="2" w:space="0" w:color="CCCCCC"/>
            </w:tcBorders>
          </w:tcPr>
          <w:p>
            <w:pPr>
              <w:pStyle w:val="CompactTableText"/>
              <w:bidi w:val="0"/>
              <w:spacing w:lineRule="auto" w:line="264" w:before="0" w:after="43"/>
              <w:jc w:val="start"/>
              <w:rPr/>
            </w:pPr>
            <w:r>
              <w:rPr/>
              <w:t>multilayer steel material type; active benchmark</w:t>
            </w:r>
          </w:p>
        </w:tc>
        <w:tc>
          <w:tcPr>
            <w:tcW w:w="3600" w:type="dxa"/>
            <w:tcBorders>
              <w:bottom w:val="single" w:sz="2" w:space="0" w:color="CCCCCC"/>
            </w:tcBorders>
          </w:tcPr>
          <w:p>
            <w:pPr>
              <w:pStyle w:val="CompactTableText"/>
              <w:bidi w:val="0"/>
              <w:spacing w:lineRule="auto" w:line="264" w:before="0" w:after="43"/>
              <w:jc w:val="start"/>
              <w:rPr/>
            </w:pPr>
            <w:r>
              <w:rPr/>
              <w:t>benchmark policy choice; S6; MLS;3layers; C4251-030 catalog</w:t>
            </w:r>
          </w:p>
        </w:tc>
        <w:tc>
          <w:tcPr>
            <w:tcW w:w="3600" w:type="dxa"/>
            <w:tcBorders>
              <w:bottom w:val="single" w:sz="2" w:space="0" w:color="CCCCCC"/>
            </w:tcBorders>
          </w:tcPr>
          <w:p>
            <w:pPr>
              <w:pStyle w:val="CompactTableText"/>
              <w:bidi w:val="0"/>
              <w:spacing w:lineRule="auto" w:line="264" w:before="0" w:after="43"/>
              <w:jc w:val="start"/>
              <w:rPr/>
            </w:pPr>
            <w:r>
              <w:rPr/>
              <w:t>Study stock category; no selected measured constitutive curve</w:t>
            </w:r>
          </w:p>
        </w:tc>
      </w:tr>
      <w:tr>
        <w:trPr/>
        <w:tc>
          <w:tcPr>
            <w:tcW w:w="2160" w:type="dxa"/>
            <w:tcBorders>
              <w:bottom w:val="single" w:sz="2" w:space="0" w:color="CCCCCC"/>
            </w:tcBorders>
          </w:tcPr>
          <w:p>
            <w:pPr>
              <w:pStyle w:val="CompactTableText"/>
              <w:bidi w:val="0"/>
              <w:spacing w:lineRule="auto" w:line="264" w:before="0" w:after="43"/>
              <w:jc w:val="start"/>
              <w:rPr/>
            </w:pPr>
            <w:r>
              <w:rPr/>
              <w:t>G04: Wrong offered bore</w:t>
            </w:r>
          </w:p>
        </w:tc>
        <w:tc>
          <w:tcPr>
            <w:tcW w:w="3600" w:type="dxa"/>
            <w:tcBorders>
              <w:bottom w:val="single" w:sz="2" w:space="0" w:color="CCCCCC"/>
            </w:tcBorders>
          </w:tcPr>
          <w:p>
            <w:pPr>
              <w:pStyle w:val="CompactTableText"/>
              <w:bidi w:val="0"/>
              <w:spacing w:lineRule="auto" w:line="264" w:before="0" w:after="43"/>
              <w:jc w:val="start"/>
              <w:rPr/>
            </w:pPr>
            <w:r>
              <w:rPr/>
              <w:t>78 mm; active benchmark</w:t>
            </w:r>
          </w:p>
        </w:tc>
        <w:tc>
          <w:tcPr>
            <w:tcW w:w="3600" w:type="dxa"/>
            <w:tcBorders>
              <w:bottom w:val="single" w:sz="2" w:space="0" w:color="CCCCCC"/>
            </w:tcBorders>
          </w:tcPr>
          <w:p>
            <w:pPr>
              <w:pStyle w:val="CompactTableText"/>
              <w:bidi w:val="0"/>
              <w:spacing w:lineRule="auto" w:line="264" w:before="0" w:after="43"/>
              <w:jc w:val="start"/>
              <w:rPr/>
            </w:pPr>
            <w:r>
              <w:rPr/>
              <w:t>benchmark policy choice</w:t>
            </w:r>
          </w:p>
        </w:tc>
        <w:tc>
          <w:tcPr>
            <w:tcW w:w="3600" w:type="dxa"/>
            <w:tcBorders>
              <w:bottom w:val="single" w:sz="2" w:space="0" w:color="CCCCCC"/>
            </w:tcBorders>
          </w:tcPr>
          <w:p>
            <w:pPr>
              <w:pStyle w:val="CompactTableText"/>
              <w:bidi w:val="0"/>
              <w:spacing w:lineRule="auto" w:line="264" w:before="0" w:after="43"/>
              <w:jc w:val="start"/>
              <w:rPr/>
            </w:pPr>
            <w:r>
              <w:rPr/>
              <w:t>Deliberately different V4 stock identifier/dimension Not the historical2.5 mm offset profile.</w:t>
            </w:r>
          </w:p>
        </w:tc>
      </w:tr>
      <w:tr>
        <w:trPr/>
        <w:tc>
          <w:tcPr>
            <w:tcW w:w="2160" w:type="dxa"/>
            <w:tcBorders>
              <w:bottom w:val="single" w:sz="2" w:space="0" w:color="CCCCCC"/>
            </w:tcBorders>
          </w:tcPr>
          <w:p>
            <w:pPr>
              <w:pStyle w:val="CompactTableText"/>
              <w:bidi w:val="0"/>
              <w:spacing w:lineRule="auto" w:line="264" w:before="0" w:after="43"/>
              <w:jc w:val="start"/>
              <w:rPr/>
            </w:pPr>
            <w:r>
              <w:rPr/>
              <w:t>G05: Wrong offered compressed thickness</w:t>
            </w:r>
          </w:p>
        </w:tc>
        <w:tc>
          <w:tcPr>
            <w:tcW w:w="3600" w:type="dxa"/>
            <w:tcBorders>
              <w:bottom w:val="single" w:sz="2" w:space="0" w:color="CCCCCC"/>
            </w:tcBorders>
          </w:tcPr>
          <w:p>
            <w:pPr>
              <w:pStyle w:val="CompactTableText"/>
              <w:bidi w:val="0"/>
              <w:spacing w:lineRule="auto" w:line="264" w:before="0" w:after="43"/>
              <w:jc w:val="start"/>
              <w:rPr/>
            </w:pPr>
            <w:r>
              <w:rPr/>
              <w:t>1.2 mm; active benchmark</w:t>
            </w:r>
          </w:p>
        </w:tc>
        <w:tc>
          <w:tcPr>
            <w:tcW w:w="3600" w:type="dxa"/>
            <w:tcBorders>
              <w:bottom w:val="single" w:sz="2" w:space="0" w:color="CCCCCC"/>
            </w:tcBorders>
          </w:tcPr>
          <w:p>
            <w:pPr>
              <w:pStyle w:val="CompactTableText"/>
              <w:bidi w:val="0"/>
              <w:spacing w:lineRule="auto" w:line="264" w:before="0" w:after="43"/>
              <w:jc w:val="start"/>
              <w:rPr/>
            </w:pPr>
            <w:r>
              <w:rPr/>
              <w:t>benchmark policy choice</w:t>
            </w:r>
          </w:p>
        </w:tc>
        <w:tc>
          <w:tcPr>
            <w:tcW w:w="3600" w:type="dxa"/>
            <w:tcBorders>
              <w:bottom w:val="single" w:sz="2" w:space="0" w:color="CCCCCC"/>
            </w:tcBorders>
          </w:tcPr>
          <w:p>
            <w:pPr>
              <w:pStyle w:val="CompactTableText"/>
              <w:bidi w:val="0"/>
              <w:spacing w:lineRule="auto" w:line="264" w:before="0" w:after="43"/>
              <w:jc w:val="start"/>
              <w:rPr/>
            </w:pPr>
            <w:r>
              <w:rPr/>
              <w:t>Deliberately different V4 stock definition</w:t>
            </w:r>
          </w:p>
        </w:tc>
      </w:tr>
      <w:tr>
        <w:trPr/>
        <w:tc>
          <w:tcPr>
            <w:tcW w:w="2160" w:type="dxa"/>
            <w:tcBorders>
              <w:bottom w:val="single" w:sz="2" w:space="0" w:color="CCCCCC"/>
            </w:tcBorders>
          </w:tcPr>
          <w:p>
            <w:pPr>
              <w:pStyle w:val="CompactTableText"/>
              <w:bidi w:val="0"/>
              <w:spacing w:lineRule="auto" w:line="264" w:before="0" w:after="43"/>
              <w:jc w:val="start"/>
              <w:rPr/>
            </w:pPr>
            <w:r>
              <w:rPr/>
              <w:t>G06: Wrong offered construction</w:t>
            </w:r>
          </w:p>
        </w:tc>
        <w:tc>
          <w:tcPr>
            <w:tcW w:w="3600" w:type="dxa"/>
            <w:tcBorders>
              <w:bottom w:val="single" w:sz="2" w:space="0" w:color="CCCCCC"/>
            </w:tcBorders>
          </w:tcPr>
          <w:p>
            <w:pPr>
              <w:pStyle w:val="CompactTableText"/>
              <w:bidi w:val="0"/>
              <w:spacing w:lineRule="auto" w:line="264" w:before="0" w:after="43"/>
              <w:jc w:val="start"/>
              <w:rPr/>
            </w:pPr>
            <w:r>
              <w:rPr/>
              <w:t>multilayer steel material type; active benchmark</w:t>
            </w:r>
          </w:p>
        </w:tc>
        <w:tc>
          <w:tcPr>
            <w:tcW w:w="3600" w:type="dxa"/>
            <w:tcBorders>
              <w:bottom w:val="single" w:sz="2" w:space="0" w:color="CCCCCC"/>
            </w:tcBorders>
          </w:tcPr>
          <w:p>
            <w:pPr>
              <w:pStyle w:val="CompactTableText"/>
              <w:bidi w:val="0"/>
              <w:spacing w:lineRule="auto" w:line="264" w:before="0" w:after="43"/>
              <w:jc w:val="start"/>
              <w:rPr/>
            </w:pPr>
            <w:r>
              <w:rPr/>
              <w:t>benchmark policy choice</w:t>
            </w:r>
          </w:p>
        </w:tc>
        <w:tc>
          <w:tcPr>
            <w:tcW w:w="3600" w:type="dxa"/>
            <w:tcBorders>
              <w:bottom w:val="single" w:sz="2" w:space="0" w:color="CCCCCC"/>
            </w:tcBorders>
          </w:tcPr>
          <w:p>
            <w:pPr>
              <w:pStyle w:val="CompactTableText"/>
              <w:bidi w:val="0"/>
              <w:spacing w:lineRule="auto" w:line="264" w:before="0" w:after="43"/>
              <w:jc w:val="start"/>
              <w:rPr/>
            </w:pPr>
            <w:r>
              <w:rPr/>
              <w:t>Authored wrong-stock material category Dimensions do not establish a measured material curve.</w:t>
            </w:r>
          </w:p>
        </w:tc>
      </w:tr>
    </w:tbl>
    <w:p>
      <w:pPr>
        <w:pStyle w:val="LandscapeFigureHeading"/>
        <w:bidi w:val="0"/>
        <w:jc w:val="start"/>
        <w:rPr/>
      </w:pPr>
      <w:r>
        <w:rPr/>
        <w:t>Appendix C. Engineering specifications — G07 to G11</w:t>
      </w:r>
    </w:p>
    <w:p>
      <w:pPr>
        <w:pStyle w:val="TableCaption"/>
        <w:keepNext w:val="true"/>
        <w:bidi w:val="0"/>
        <w:jc w:val="start"/>
        <w:rPr/>
      </w:pPr>
      <w:r>
        <w:rPr/>
        <w:t>Table 18. Appendix C. Engineering specifications — G07 to G11</w:t>
      </w:r>
    </w:p>
    <w:tbl>
      <w:tblPr>
        <w:tblW w:w="12960" w:type="dxa"/>
        <w:jc w:val="start"/>
        <w:tblInd w:w="0" w:type="dxa"/>
        <w:tblLayout w:type="fixed"/>
        <w:tblCellMar>
          <w:top w:w="58" w:type="dxa"/>
          <w:start w:w="58" w:type="dxa"/>
          <w:bottom w:w="58" w:type="dxa"/>
          <w:end w:w="58" w:type="dxa"/>
        </w:tblCellMar>
      </w:tblPr>
      <w:tblGrid>
        <w:gridCol w:w="2160"/>
        <w:gridCol w:w="3600"/>
        <w:gridCol w:w="3600"/>
        <w:gridCol w:w="3600"/>
      </w:tblGrid>
      <w:tr>
        <w:trPr/>
        <w:tc>
          <w:tcPr>
            <w:tcW w:w="2160" w:type="dxa"/>
            <w:tcBorders>
              <w:bottom w:val="single" w:sz="2" w:space="0" w:color="CCCCCC"/>
            </w:tcBorders>
          </w:tcPr>
          <w:p>
            <w:pPr>
              <w:pStyle w:val="CompactTableText"/>
              <w:bidi w:val="0"/>
              <w:spacing w:lineRule="auto" w:line="264" w:before="0" w:after="43"/>
              <w:jc w:val="start"/>
              <w:rPr/>
            </w:pPr>
            <w:r>
              <w:rPr>
                <w:rStyle w:val="Tb"/>
              </w:rPr>
              <w:t>Specification</w:t>
            </w:r>
          </w:p>
        </w:tc>
        <w:tc>
          <w:tcPr>
            <w:tcW w:w="3600" w:type="dxa"/>
            <w:tcBorders>
              <w:bottom w:val="single" w:sz="2" w:space="0" w:color="CCCCCC"/>
            </w:tcBorders>
          </w:tcPr>
          <w:p>
            <w:pPr>
              <w:pStyle w:val="CompactTableText"/>
              <w:bidi w:val="0"/>
              <w:spacing w:lineRule="auto" w:line="264" w:before="0" w:after="43"/>
              <w:jc w:val="start"/>
              <w:rPr/>
            </w:pPr>
            <w:r>
              <w:rPr>
                <w:rStyle w:val="Tb"/>
              </w:rPr>
              <w:t>Benchmark value and scope</w:t>
            </w:r>
          </w:p>
        </w:tc>
        <w:tc>
          <w:tcPr>
            <w:tcW w:w="3600" w:type="dxa"/>
            <w:tcBorders>
              <w:bottom w:val="single" w:sz="2" w:space="0" w:color="CCCCCC"/>
            </w:tcBorders>
          </w:tcPr>
          <w:p>
            <w:pPr>
              <w:pStyle w:val="CompactTableText"/>
              <w:bidi w:val="0"/>
              <w:spacing w:lineRule="auto" w:line="264" w:before="0" w:after="43"/>
              <w:jc w:val="start"/>
              <w:rPr/>
            </w:pPr>
            <w:r>
              <w:rPr>
                <w:rStyle w:val="Tb"/>
              </w:rPr>
              <w:t>Basis and public-source value</w:t>
            </w:r>
          </w:p>
        </w:tc>
        <w:tc>
          <w:tcPr>
            <w:tcW w:w="3600" w:type="dxa"/>
            <w:tcBorders>
              <w:bottom w:val="single" w:sz="2" w:space="0" w:color="CCCCCC"/>
            </w:tcBorders>
          </w:tcPr>
          <w:p>
            <w:pPr>
              <w:pStyle w:val="CompactTableText"/>
              <w:bidi w:val="0"/>
              <w:spacing w:lineRule="auto" w:line="264" w:before="0" w:after="43"/>
              <w:jc w:val="start"/>
              <w:rPr/>
            </w:pPr>
            <w:r>
              <w:rPr>
                <w:rStyle w:val="Tb"/>
              </w:rPr>
              <w:t>Selection and disagreement or limit</w:t>
            </w:r>
          </w:p>
        </w:tc>
      </w:tr>
      <w:tr>
        <w:trPr/>
        <w:tc>
          <w:tcPr>
            <w:tcW w:w="2160" w:type="dxa"/>
            <w:tcBorders>
              <w:bottom w:val="single" w:sz="2" w:space="0" w:color="CCCCCC"/>
            </w:tcBorders>
          </w:tcPr>
          <w:p>
            <w:pPr>
              <w:pStyle w:val="CompactTableText"/>
              <w:bidi w:val="0"/>
              <w:spacing w:lineRule="auto" w:line="264" w:before="0" w:after="43"/>
              <w:jc w:val="start"/>
              <w:rPr/>
            </w:pPr>
            <w:r>
              <w:rPr/>
              <w:t>G07: Selected orientation</w:t>
            </w:r>
          </w:p>
        </w:tc>
        <w:tc>
          <w:tcPr>
            <w:tcW w:w="3600" w:type="dxa"/>
            <w:tcBorders>
              <w:bottom w:val="single" w:sz="2" w:space="0" w:color="CCCCCC"/>
            </w:tcBorders>
          </w:tcPr>
          <w:p>
            <w:pPr>
              <w:pStyle w:val="CompactTableText"/>
              <w:bidi w:val="0"/>
              <w:spacing w:lineRule="auto" w:line="264" w:before="0" w:after="43"/>
              <w:jc w:val="start"/>
              <w:rPr/>
            </w:pPr>
            <w:r>
              <w:rPr/>
              <w:t>up enum; active benchmark</w:t>
            </w:r>
          </w:p>
        </w:tc>
        <w:tc>
          <w:tcPr>
            <w:tcW w:w="3600" w:type="dxa"/>
            <w:tcBorders>
              <w:bottom w:val="single" w:sz="2" w:space="0" w:color="CCCCCC"/>
            </w:tcBorders>
          </w:tcPr>
          <w:p>
            <w:pPr>
              <w:pStyle w:val="CompactTableText"/>
              <w:bidi w:val="0"/>
              <w:spacing w:lineRule="auto" w:line="264" w:before="0" w:after="43"/>
              <w:jc w:val="start"/>
              <w:rPr/>
            </w:pPr>
            <w:r>
              <w:rPr/>
              <w:t>benchmark policy choice; M|S6; correct installation alignment; catalog None; Head installation; catalog Orientation field</w:t>
            </w:r>
          </w:p>
        </w:tc>
        <w:tc>
          <w:tcPr>
            <w:tcW w:w="3600" w:type="dxa"/>
            <w:tcBorders>
              <w:bottom w:val="single" w:sz="2" w:space="0" w:color="CCCCCC"/>
            </w:tcBorders>
          </w:tcPr>
          <w:p>
            <w:pPr>
              <w:pStyle w:val="CompactTableText"/>
              <w:bidi w:val="0"/>
              <w:spacing w:lineRule="auto" w:line="264" w:before="0" w:after="43"/>
              <w:jc w:val="start"/>
              <w:rPr/>
            </w:pPr>
            <w:r>
              <w:rPr/>
              <w:t>Discrete orientation and dowel alignment convention Catalog None does not certify either-face installation.</w:t>
            </w:r>
          </w:p>
        </w:tc>
      </w:tr>
      <w:tr>
        <w:trPr/>
        <w:tc>
          <w:tcPr>
            <w:tcW w:w="2160" w:type="dxa"/>
            <w:tcBorders>
              <w:bottom w:val="single" w:sz="2" w:space="0" w:color="CCCCCC"/>
            </w:tcBorders>
          </w:tcPr>
          <w:p>
            <w:pPr>
              <w:pStyle w:val="CompactTableText"/>
              <w:bidi w:val="0"/>
              <w:spacing w:lineRule="auto" w:line="264" w:before="0" w:after="43"/>
              <w:jc w:val="start"/>
              <w:rPr/>
            </w:pPr>
            <w:r>
              <w:rPr/>
              <w:t>G08: Sealant on selected MLS</w:t>
            </w:r>
          </w:p>
        </w:tc>
        <w:tc>
          <w:tcPr>
            <w:tcW w:w="3600" w:type="dxa"/>
            <w:tcBorders>
              <w:bottom w:val="single" w:sz="2" w:space="0" w:color="CCCCCC"/>
            </w:tcBorders>
          </w:tcPr>
          <w:p>
            <w:pPr>
              <w:pStyle w:val="CompactTableText"/>
              <w:bidi w:val="0"/>
              <w:spacing w:lineRule="auto" w:line="264" w:before="0" w:after="43"/>
              <w:jc w:val="start"/>
              <w:rPr/>
            </w:pPr>
            <w:r>
              <w:rPr/>
              <w:t>none; install dry criterion; active benchmark</w:t>
            </w:r>
          </w:p>
        </w:tc>
        <w:tc>
          <w:tcPr>
            <w:tcW w:w="3600" w:type="dxa"/>
            <w:tcBorders>
              <w:bottom w:val="single" w:sz="2" w:space="0" w:color="CCCCCC"/>
            </w:tcBorders>
          </w:tcPr>
          <w:p>
            <w:pPr>
              <w:pStyle w:val="CompactTableText"/>
              <w:bidi w:val="0"/>
              <w:spacing w:lineRule="auto" w:line="264" w:before="0" w:after="43"/>
              <w:jc w:val="start"/>
              <w:rPr/>
            </w:pPr>
            <w:r>
              <w:rPr/>
              <w:t>public source-supported; S3; dry coated MLS; no extra sealer; MLS Head Gasket Installation</w:t>
            </w:r>
          </w:p>
        </w:tc>
        <w:tc>
          <w:tcPr>
            <w:tcW w:w="3600" w:type="dxa"/>
            <w:tcBorders>
              <w:bottom w:val="single" w:sz="2" w:space="0" w:color="CCCCCC"/>
            </w:tcBorders>
          </w:tcPr>
          <w:p>
            <w:pPr>
              <w:pStyle w:val="CompactTableText"/>
              <w:bidi w:val="0"/>
              <w:spacing w:lineRule="auto" w:line="264" w:before="0" w:after="43"/>
              <w:jc w:val="start"/>
              <w:rPr/>
            </w:pPr>
            <w:r>
              <w:rPr/>
              <w:t>Apply general MLS installation guidance</w:t>
            </w:r>
          </w:p>
        </w:tc>
      </w:tr>
      <w:tr>
        <w:trPr/>
        <w:tc>
          <w:tcPr>
            <w:tcW w:w="2160" w:type="dxa"/>
            <w:tcBorders>
              <w:bottom w:val="single" w:sz="2" w:space="0" w:color="CCCCCC"/>
            </w:tcBorders>
          </w:tcPr>
          <w:p>
            <w:pPr>
              <w:pStyle w:val="CompactTableText"/>
              <w:bidi w:val="0"/>
              <w:spacing w:lineRule="auto" w:line="264" w:before="0" w:after="43"/>
              <w:jc w:val="start"/>
              <w:rPr/>
            </w:pPr>
            <w:r>
              <w:rPr/>
              <w:t>G09: Replacement</w:t>
            </w:r>
          </w:p>
        </w:tc>
        <w:tc>
          <w:tcPr>
            <w:tcW w:w="3600" w:type="dxa"/>
            <w:tcBorders>
              <w:bottom w:val="single" w:sz="2" w:space="0" w:color="CCCCCC"/>
            </w:tcBorders>
          </w:tcPr>
          <w:p>
            <w:pPr>
              <w:pStyle w:val="CompactTableText"/>
              <w:bidi w:val="0"/>
              <w:spacing w:lineRule="auto" w:line="264" w:before="0" w:after="43"/>
              <w:jc w:val="start"/>
              <w:rPr/>
            </w:pPr>
            <w:r>
              <w:rPr/>
              <w:t>new head gasket criterion; active benchmark</w:t>
            </w:r>
          </w:p>
        </w:tc>
        <w:tc>
          <w:tcPr>
            <w:tcW w:w="3600" w:type="dxa"/>
            <w:tcBorders>
              <w:bottom w:val="single" w:sz="2" w:space="0" w:color="CCCCCC"/>
            </w:tcBorders>
          </w:tcPr>
          <w:p>
            <w:pPr>
              <w:pStyle w:val="CompactTableText"/>
              <w:bidi w:val="0"/>
              <w:spacing w:lineRule="auto" w:line="264" w:before="0" w:after="43"/>
              <w:jc w:val="start"/>
              <w:rPr/>
            </w:pPr>
            <w:r>
              <w:rPr/>
              <w:t>public source-supported; M|S1; new gasket; Head installation</w:t>
            </w:r>
          </w:p>
        </w:tc>
        <w:tc>
          <w:tcPr>
            <w:tcW w:w="3600" w:type="dxa"/>
            <w:tcBorders>
              <w:bottom w:val="single" w:sz="2" w:space="0" w:color="CCCCCC"/>
            </w:tcBorders>
          </w:tcPr>
          <w:p>
            <w:pPr>
              <w:pStyle w:val="CompactTableText"/>
              <w:bidi w:val="0"/>
              <w:spacing w:lineRule="auto" w:line="264" w:before="0" w:after="43"/>
              <w:jc w:val="start"/>
              <w:rPr/>
            </w:pPr>
            <w:r>
              <w:rPr/>
              <w:t>Used gasket is removed/replaced</w:t>
            </w:r>
          </w:p>
        </w:tc>
      </w:tr>
      <w:tr>
        <w:trPr/>
        <w:tc>
          <w:tcPr>
            <w:tcW w:w="2160" w:type="dxa"/>
            <w:tcBorders>
              <w:bottom w:val="single" w:sz="2" w:space="0" w:color="CCCCCC"/>
            </w:tcBorders>
          </w:tcPr>
          <w:p>
            <w:pPr>
              <w:pStyle w:val="CompactTableText"/>
              <w:bidi w:val="0"/>
              <w:spacing w:lineRule="auto" w:line="264" w:before="0" w:after="43"/>
              <w:jc w:val="start"/>
              <w:rPr/>
            </w:pPr>
            <w:r>
              <w:rPr/>
              <w:t>G10: Dowel alignment</w:t>
            </w:r>
          </w:p>
        </w:tc>
        <w:tc>
          <w:tcPr>
            <w:tcW w:w="3600" w:type="dxa"/>
            <w:tcBorders>
              <w:bottom w:val="single" w:sz="2" w:space="0" w:color="CCCCCC"/>
            </w:tcBorders>
          </w:tcPr>
          <w:p>
            <w:pPr>
              <w:pStyle w:val="CompactTableText"/>
              <w:bidi w:val="0"/>
              <w:spacing w:lineRule="auto" w:line="264" w:before="0" w:after="43"/>
              <w:jc w:val="start"/>
              <w:rPr/>
            </w:pPr>
            <w:r>
              <w:rPr/>
              <w:t>all retained dowels installed; selected orientation criterion; active benchmark</w:t>
            </w:r>
          </w:p>
        </w:tc>
        <w:tc>
          <w:tcPr>
            <w:tcW w:w="3600" w:type="dxa"/>
            <w:tcBorders>
              <w:bottom w:val="single" w:sz="2" w:space="0" w:color="CCCCCC"/>
            </w:tcBorders>
          </w:tcPr>
          <w:p>
            <w:pPr>
              <w:pStyle w:val="CompactTableText"/>
              <w:bidi w:val="0"/>
              <w:spacing w:lineRule="auto" w:line="264" w:before="0" w:after="43"/>
              <w:jc w:val="start"/>
              <w:rPr/>
            </w:pPr>
            <w:r>
              <w:rPr/>
              <w:t>benchmark policy choice; M; alignment dowels; Head installation</w:t>
            </w:r>
          </w:p>
        </w:tc>
        <w:tc>
          <w:tcPr>
            <w:tcW w:w="3600" w:type="dxa"/>
            <w:tcBorders>
              <w:bottom w:val="single" w:sz="2" w:space="0" w:color="CCCCCC"/>
            </w:tcBorders>
          </w:tcPr>
          <w:p>
            <w:pPr>
              <w:pStyle w:val="CompactTableText"/>
              <w:bidi w:val="0"/>
              <w:spacing w:lineRule="auto" w:line="264" w:before="0" w:after="43"/>
              <w:jc w:val="start"/>
              <w:rPr/>
            </w:pPr>
            <w:r>
              <w:rPr/>
              <w:t>Discrete benchmark alignment observation No clearance or geometric interference simulation.</w:t>
            </w:r>
          </w:p>
        </w:tc>
      </w:tr>
      <w:tr>
        <w:trPr/>
        <w:tc>
          <w:tcPr>
            <w:tcW w:w="2160" w:type="dxa"/>
            <w:tcBorders>
              <w:bottom w:val="single" w:sz="2" w:space="0" w:color="CCCCCC"/>
            </w:tcBorders>
          </w:tcPr>
          <w:p>
            <w:pPr>
              <w:pStyle w:val="CompactTableText"/>
              <w:bidi w:val="0"/>
              <w:spacing w:lineRule="auto" w:line="264" w:before="0" w:after="43"/>
              <w:jc w:val="start"/>
              <w:rPr/>
            </w:pPr>
            <w:r>
              <w:rPr/>
              <w:t>G11: Failed-cylinder identifier</w:t>
            </w:r>
          </w:p>
        </w:tc>
        <w:tc>
          <w:tcPr>
            <w:tcW w:w="3600" w:type="dxa"/>
            <w:tcBorders>
              <w:bottom w:val="single" w:sz="2" w:space="0" w:color="CCCCCC"/>
            </w:tcBorders>
          </w:tcPr>
          <w:p>
            <w:pPr>
              <w:pStyle w:val="CompactTableText"/>
              <w:bidi w:val="0"/>
              <w:spacing w:lineRule="auto" w:line="264" w:before="0" w:after="43"/>
              <w:jc w:val="start"/>
              <w:rPr/>
            </w:pPr>
            <w:r>
              <w:rPr/>
              <w:t>2 cylinder; active benchmark</w:t>
            </w:r>
          </w:p>
        </w:tc>
        <w:tc>
          <w:tcPr>
            <w:tcW w:w="3600" w:type="dxa"/>
            <w:tcBorders>
              <w:bottom w:val="single" w:sz="2" w:space="0" w:color="CCCCCC"/>
            </w:tcBorders>
          </w:tcPr>
          <w:p>
            <w:pPr>
              <w:pStyle w:val="CompactTableText"/>
              <w:bidi w:val="0"/>
              <w:spacing w:lineRule="auto" w:line="264" w:before="0" w:after="43"/>
              <w:jc w:val="start"/>
              <w:rPr/>
            </w:pPr>
            <w:r>
              <w:rPr/>
              <w:t>benchmark policy choice</w:t>
            </w:r>
          </w:p>
        </w:tc>
        <w:tc>
          <w:tcPr>
            <w:tcW w:w="3600" w:type="dxa"/>
            <w:tcBorders>
              <w:bottom w:val="single" w:sz="2" w:space="0" w:color="CCCCCC"/>
            </w:tcBorders>
          </w:tcPr>
          <w:p>
            <w:pPr>
              <w:pStyle w:val="CompactTableText"/>
              <w:bidi w:val="0"/>
              <w:spacing w:lineRule="auto" w:line="264" w:before="0" w:after="43"/>
              <w:jc w:val="start"/>
              <w:rPr/>
            </w:pPr>
            <w:r>
              <w:rPr/>
              <w:t>Fixed starting defect metadata across variants No combustion or leak-time simulation.</w:t>
            </w:r>
          </w:p>
        </w:tc>
      </w:tr>
    </w:tbl>
    <w:p>
      <w:pPr>
        <w:pStyle w:val="LandscapeFigureHeading"/>
        <w:bidi w:val="0"/>
        <w:jc w:val="start"/>
        <w:rPr/>
      </w:pPr>
      <w:r>
        <w:rPr/>
        <w:t>Appendix C. Engineering specifications — T01 to T05</w:t>
      </w:r>
    </w:p>
    <w:p>
      <w:pPr>
        <w:pStyle w:val="TableCaption"/>
        <w:keepNext w:val="true"/>
        <w:bidi w:val="0"/>
        <w:jc w:val="start"/>
        <w:rPr/>
      </w:pPr>
      <w:r>
        <w:rPr/>
        <w:t>Table 19. Appendix C. Engineering specifications — T01 to T05</w:t>
      </w:r>
    </w:p>
    <w:tbl>
      <w:tblPr>
        <w:tblW w:w="12960" w:type="dxa"/>
        <w:jc w:val="start"/>
        <w:tblInd w:w="0" w:type="dxa"/>
        <w:tblLayout w:type="fixed"/>
        <w:tblCellMar>
          <w:top w:w="58" w:type="dxa"/>
          <w:start w:w="58" w:type="dxa"/>
          <w:bottom w:w="58" w:type="dxa"/>
          <w:end w:w="58" w:type="dxa"/>
        </w:tblCellMar>
      </w:tblPr>
      <w:tblGrid>
        <w:gridCol w:w="2160"/>
        <w:gridCol w:w="3600"/>
        <w:gridCol w:w="3600"/>
        <w:gridCol w:w="3600"/>
      </w:tblGrid>
      <w:tr>
        <w:trPr/>
        <w:tc>
          <w:tcPr>
            <w:tcW w:w="2160" w:type="dxa"/>
            <w:tcBorders>
              <w:bottom w:val="single" w:sz="2" w:space="0" w:color="CCCCCC"/>
            </w:tcBorders>
          </w:tcPr>
          <w:p>
            <w:pPr>
              <w:pStyle w:val="CompactTableText"/>
              <w:bidi w:val="0"/>
              <w:spacing w:lineRule="auto" w:line="264" w:before="0" w:after="43"/>
              <w:jc w:val="start"/>
              <w:rPr/>
            </w:pPr>
            <w:r>
              <w:rPr>
                <w:rStyle w:val="Tb"/>
              </w:rPr>
              <w:t>Specification</w:t>
            </w:r>
          </w:p>
        </w:tc>
        <w:tc>
          <w:tcPr>
            <w:tcW w:w="3600" w:type="dxa"/>
            <w:tcBorders>
              <w:bottom w:val="single" w:sz="2" w:space="0" w:color="CCCCCC"/>
            </w:tcBorders>
          </w:tcPr>
          <w:p>
            <w:pPr>
              <w:pStyle w:val="CompactTableText"/>
              <w:bidi w:val="0"/>
              <w:spacing w:lineRule="auto" w:line="264" w:before="0" w:after="43"/>
              <w:jc w:val="start"/>
              <w:rPr/>
            </w:pPr>
            <w:r>
              <w:rPr>
                <w:rStyle w:val="Tb"/>
              </w:rPr>
              <w:t>Benchmark value and scope</w:t>
            </w:r>
          </w:p>
        </w:tc>
        <w:tc>
          <w:tcPr>
            <w:tcW w:w="3600" w:type="dxa"/>
            <w:tcBorders>
              <w:bottom w:val="single" w:sz="2" w:space="0" w:color="CCCCCC"/>
            </w:tcBorders>
          </w:tcPr>
          <w:p>
            <w:pPr>
              <w:pStyle w:val="CompactTableText"/>
              <w:bidi w:val="0"/>
              <w:spacing w:lineRule="auto" w:line="264" w:before="0" w:after="43"/>
              <w:jc w:val="start"/>
              <w:rPr/>
            </w:pPr>
            <w:r>
              <w:rPr>
                <w:rStyle w:val="Tb"/>
              </w:rPr>
              <w:t>Basis and public-source value</w:t>
            </w:r>
          </w:p>
        </w:tc>
        <w:tc>
          <w:tcPr>
            <w:tcW w:w="3600" w:type="dxa"/>
            <w:tcBorders>
              <w:bottom w:val="single" w:sz="2" w:space="0" w:color="CCCCCC"/>
            </w:tcBorders>
          </w:tcPr>
          <w:p>
            <w:pPr>
              <w:pStyle w:val="CompactTableText"/>
              <w:bidi w:val="0"/>
              <w:spacing w:lineRule="auto" w:line="264" w:before="0" w:after="43"/>
              <w:jc w:val="start"/>
              <w:rPr/>
            </w:pPr>
            <w:r>
              <w:rPr>
                <w:rStyle w:val="Tb"/>
              </w:rPr>
              <w:t>Selection and disagreement or limit</w:t>
            </w:r>
          </w:p>
        </w:tc>
      </w:tr>
      <w:tr>
        <w:trPr/>
        <w:tc>
          <w:tcPr>
            <w:tcW w:w="2160" w:type="dxa"/>
            <w:tcBorders>
              <w:bottom w:val="single" w:sz="2" w:space="0" w:color="CCCCCC"/>
            </w:tcBorders>
          </w:tcPr>
          <w:p>
            <w:pPr>
              <w:pStyle w:val="CompactTableText"/>
              <w:bidi w:val="0"/>
              <w:spacing w:lineRule="auto" w:line="264" w:before="0" w:after="43"/>
              <w:jc w:val="start"/>
              <w:rPr/>
            </w:pPr>
            <w:r>
              <w:rPr/>
              <w:t>T01: Compression TDC cylinder</w:t>
            </w:r>
          </w:p>
        </w:tc>
        <w:tc>
          <w:tcPr>
            <w:tcW w:w="3600" w:type="dxa"/>
            <w:tcBorders>
              <w:bottom w:val="single" w:sz="2" w:space="0" w:color="CCCCCC"/>
            </w:tcBorders>
          </w:tcPr>
          <w:p>
            <w:pPr>
              <w:pStyle w:val="CompactTableText"/>
              <w:bidi w:val="0"/>
              <w:spacing w:lineRule="auto" w:line="264" w:before="0" w:after="43"/>
              <w:jc w:val="start"/>
              <w:rPr/>
            </w:pPr>
            <w:r>
              <w:rPr/>
              <w:t>1 cylinder; active benchmark</w:t>
            </w:r>
          </w:p>
        </w:tc>
        <w:tc>
          <w:tcPr>
            <w:tcW w:w="3600" w:type="dxa"/>
            <w:tcBorders>
              <w:bottom w:val="single" w:sz="2" w:space="0" w:color="CCCCCC"/>
            </w:tcBorders>
          </w:tcPr>
          <w:p>
            <w:pPr>
              <w:pStyle w:val="CompactTableText"/>
              <w:bidi w:val="0"/>
              <w:spacing w:lineRule="auto" w:line="264" w:before="0" w:after="43"/>
              <w:jc w:val="start"/>
              <w:rPr/>
            </w:pPr>
            <w:r>
              <w:rPr/>
              <w:t>public source-supported; M|S1; No.1 compression TDC; M 6-62; S1p1</w:t>
            </w:r>
          </w:p>
        </w:tc>
        <w:tc>
          <w:tcPr>
            <w:tcW w:w="3600" w:type="dxa"/>
            <w:tcBorders>
              <w:bottom w:val="single" w:sz="2" w:space="0" w:color="CCCCCC"/>
            </w:tcBorders>
          </w:tcPr>
          <w:p>
            <w:pPr>
              <w:pStyle w:val="CompactTableText"/>
              <w:bidi w:val="0"/>
              <w:spacing w:lineRule="auto" w:line="264" w:before="0" w:after="43"/>
              <w:jc w:val="start"/>
              <w:rPr/>
            </w:pPr>
            <w:r>
              <w:rPr/>
              <w:t>Selected service datum</w:t>
            </w:r>
          </w:p>
        </w:tc>
      </w:tr>
      <w:tr>
        <w:trPr/>
        <w:tc>
          <w:tcPr>
            <w:tcW w:w="2160" w:type="dxa"/>
            <w:tcBorders>
              <w:bottom w:val="single" w:sz="2" w:space="0" w:color="CCCCCC"/>
            </w:tcBorders>
          </w:tcPr>
          <w:p>
            <w:pPr>
              <w:pStyle w:val="CompactTableText"/>
              <w:bidi w:val="0"/>
              <w:spacing w:lineRule="auto" w:line="264" w:before="0" w:after="43"/>
              <w:jc w:val="start"/>
              <w:rPr/>
            </w:pPr>
            <w:r>
              <w:rPr/>
              <w:t>T02: Compression-datum phase</w:t>
            </w:r>
          </w:p>
        </w:tc>
        <w:tc>
          <w:tcPr>
            <w:tcW w:w="3600" w:type="dxa"/>
            <w:tcBorders>
              <w:bottom w:val="single" w:sz="2" w:space="0" w:color="CCCCCC"/>
            </w:tcBorders>
          </w:tcPr>
          <w:p>
            <w:pPr>
              <w:pStyle w:val="CompactTableText"/>
              <w:bidi w:val="0"/>
              <w:spacing w:lineRule="auto" w:line="264" w:before="0" w:after="43"/>
              <w:jc w:val="start"/>
              <w:rPr/>
            </w:pPr>
            <w:r>
              <w:rPr/>
              <w:t>cam0;crank0 degrees; active benchmark</w:t>
            </w:r>
          </w:p>
        </w:tc>
        <w:tc>
          <w:tcPr>
            <w:tcW w:w="3600" w:type="dxa"/>
            <w:tcBorders>
              <w:bottom w:val="single" w:sz="2" w:space="0" w:color="CCCCCC"/>
            </w:tcBorders>
          </w:tcPr>
          <w:p>
            <w:pPr>
              <w:pStyle w:val="CompactTableText"/>
              <w:bidi w:val="0"/>
              <w:spacing w:lineRule="auto" w:line="264" w:before="0" w:after="43"/>
              <w:jc w:val="start"/>
              <w:rPr/>
            </w:pPr>
            <w:r>
              <w:rPr/>
              <w:t>benchmark policy choice</w:t>
            </w:r>
          </w:p>
        </w:tc>
        <w:tc>
          <w:tcPr>
            <w:tcW w:w="3600" w:type="dxa"/>
            <w:tcBorders>
              <w:bottom w:val="single" w:sz="2" w:space="0" w:color="CCCCCC"/>
            </w:tcBorders>
          </w:tcPr>
          <w:p>
            <w:pPr>
              <w:pStyle w:val="CompactTableText"/>
              <w:bidi w:val="0"/>
              <w:spacing w:lineRule="auto" w:line="264" w:before="0" w:after="43"/>
              <w:jc w:val="start"/>
              <w:rPr/>
            </w:pPr>
            <w:r>
              <w:rPr/>
              <w:t>Explicit software coordinate origin Not a measured tooth/keyway angle.</w:t>
            </w:r>
          </w:p>
        </w:tc>
      </w:tr>
      <w:tr>
        <w:trPr/>
        <w:tc>
          <w:tcPr>
            <w:tcW w:w="2160" w:type="dxa"/>
            <w:tcBorders>
              <w:bottom w:val="single" w:sz="2" w:space="0" w:color="CCCCCC"/>
            </w:tcBorders>
          </w:tcPr>
          <w:p>
            <w:pPr>
              <w:pStyle w:val="CompactTableText"/>
              <w:bidi w:val="0"/>
              <w:spacing w:lineRule="auto" w:line="264" w:before="0" w:after="43"/>
              <w:jc w:val="start"/>
              <w:rPr/>
            </w:pPr>
            <w:r>
              <w:rPr/>
              <w:t>T03: Cam/crank speed relation</w:t>
            </w:r>
          </w:p>
        </w:tc>
        <w:tc>
          <w:tcPr>
            <w:tcW w:w="3600" w:type="dxa"/>
            <w:tcBorders>
              <w:bottom w:val="single" w:sz="2" w:space="0" w:color="CCCCCC"/>
            </w:tcBorders>
          </w:tcPr>
          <w:p>
            <w:pPr>
              <w:pStyle w:val="CompactTableText"/>
              <w:bidi w:val="0"/>
              <w:spacing w:lineRule="auto" w:line="264" w:before="0" w:after="43"/>
              <w:jc w:val="start"/>
              <w:rPr/>
            </w:pPr>
            <w:r>
              <w:rPr/>
              <w:t>cam=crank/2 ratio; active benchmark</w:t>
            </w:r>
          </w:p>
        </w:tc>
        <w:tc>
          <w:tcPr>
            <w:tcW w:w="3600" w:type="dxa"/>
            <w:tcBorders>
              <w:bottom w:val="single" w:sz="2" w:space="0" w:color="CCCCCC"/>
            </w:tcBorders>
          </w:tcPr>
          <w:p>
            <w:pPr>
              <w:pStyle w:val="CompactTableText"/>
              <w:bidi w:val="0"/>
              <w:spacing w:lineRule="auto" w:line="264" w:before="0" w:after="43"/>
              <w:jc w:val="start"/>
              <w:rPr/>
            </w:pPr>
            <w:r>
              <w:rPr/>
              <w:t>benchmark policy choice</w:t>
            </w:r>
          </w:p>
        </w:tc>
        <w:tc>
          <w:tcPr>
            <w:tcW w:w="3600" w:type="dxa"/>
            <w:tcBorders>
              <w:bottom w:val="single" w:sz="2" w:space="0" w:color="CCCCCC"/>
            </w:tcBorders>
          </w:tcPr>
          <w:p>
            <w:pPr>
              <w:pStyle w:val="CompactTableText"/>
              <w:bidi w:val="0"/>
              <w:spacing w:lineRule="auto" w:line="264" w:before="0" w:after="43"/>
              <w:jc w:val="start"/>
              <w:rPr/>
            </w:pPr>
            <w:r>
              <w:rPr/>
              <w:t>Discrete four-stroke phase convention No motion simulation in this benchmark path.</w:t>
            </w:r>
          </w:p>
        </w:tc>
      </w:tr>
      <w:tr>
        <w:trPr/>
        <w:tc>
          <w:tcPr>
            <w:tcW w:w="2160" w:type="dxa"/>
            <w:tcBorders>
              <w:bottom w:val="single" w:sz="2" w:space="0" w:color="CCCCCC"/>
            </w:tcBorders>
          </w:tcPr>
          <w:p>
            <w:pPr>
              <w:pStyle w:val="CompactTableText"/>
              <w:bidi w:val="0"/>
              <w:spacing w:lineRule="auto" w:line="264" w:before="0" w:after="43"/>
              <w:jc w:val="start"/>
              <w:rPr/>
            </w:pPr>
            <w:r>
              <w:rPr/>
              <w:t>T04: Mark-alignment tolerance</w:t>
            </w:r>
          </w:p>
        </w:tc>
        <w:tc>
          <w:tcPr>
            <w:tcW w:w="3600" w:type="dxa"/>
            <w:tcBorders>
              <w:bottom w:val="single" w:sz="2" w:space="0" w:color="CCCCCC"/>
            </w:tcBorders>
          </w:tcPr>
          <w:p>
            <w:pPr>
              <w:pStyle w:val="CompactTableText"/>
              <w:bidi w:val="0"/>
              <w:spacing w:lineRule="auto" w:line="264" w:before="0" w:after="43"/>
              <w:jc w:val="start"/>
              <w:rPr/>
            </w:pPr>
            <w:r>
              <w:rPr/>
              <w:t>0.1 degrees; active benchmark</w:t>
            </w:r>
          </w:p>
        </w:tc>
        <w:tc>
          <w:tcPr>
            <w:tcW w:w="3600" w:type="dxa"/>
            <w:tcBorders>
              <w:bottom w:val="single" w:sz="2" w:space="0" w:color="CCCCCC"/>
            </w:tcBorders>
          </w:tcPr>
          <w:p>
            <w:pPr>
              <w:pStyle w:val="CompactTableText"/>
              <w:bidi w:val="0"/>
              <w:spacing w:lineRule="auto" w:line="264" w:before="0" w:after="43"/>
              <w:jc w:val="start"/>
              <w:rPr/>
            </w:pPr>
            <w:r>
              <w:rPr/>
              <w:t>benchmark policy choice</w:t>
            </w:r>
          </w:p>
        </w:tc>
        <w:tc>
          <w:tcPr>
            <w:tcW w:w="3600" w:type="dxa"/>
            <w:tcBorders>
              <w:bottom w:val="single" w:sz="2" w:space="0" w:color="CCCCCC"/>
            </w:tcBorders>
          </w:tcPr>
          <w:p>
            <w:pPr>
              <w:pStyle w:val="CompactTableText"/>
              <w:bidi w:val="0"/>
              <w:spacing w:lineRule="auto" w:line="264" w:before="0" w:after="43"/>
              <w:jc w:val="start"/>
              <w:rPr/>
            </w:pPr>
            <w:r>
              <w:rPr/>
              <w:t>Finite exact evaluator tolerance Not a workshop measuring tolerance.</w:t>
            </w:r>
          </w:p>
        </w:tc>
      </w:tr>
      <w:tr>
        <w:trPr/>
        <w:tc>
          <w:tcPr>
            <w:tcW w:w="2160" w:type="dxa"/>
            <w:tcBorders>
              <w:bottom w:val="single" w:sz="2" w:space="0" w:color="CCCCCC"/>
            </w:tcBorders>
          </w:tcPr>
          <w:p>
            <w:pPr>
              <w:pStyle w:val="CompactTableText"/>
              <w:bidi w:val="0"/>
              <w:spacing w:lineRule="auto" w:line="264" w:before="0" w:after="43"/>
              <w:jc w:val="start"/>
              <w:rPr/>
            </w:pPr>
            <w:r>
              <w:rPr/>
              <w:t>T05: Crank mark</w:t>
            </w:r>
          </w:p>
        </w:tc>
        <w:tc>
          <w:tcPr>
            <w:tcW w:w="3600" w:type="dxa"/>
            <w:tcBorders>
              <w:bottom w:val="single" w:sz="2" w:space="0" w:color="CCCCCC"/>
            </w:tcBorders>
          </w:tcPr>
          <w:p>
            <w:pPr>
              <w:pStyle w:val="CompactTableText"/>
              <w:bidi w:val="0"/>
              <w:spacing w:lineRule="auto" w:line="264" w:before="0" w:after="43"/>
              <w:jc w:val="start"/>
              <w:rPr/>
            </w:pPr>
            <w:r>
              <w:rPr/>
              <w:t>tooth-side groove to oil-pump pointer alignment; active benchmark</w:t>
            </w:r>
          </w:p>
        </w:tc>
        <w:tc>
          <w:tcPr>
            <w:tcW w:w="3600" w:type="dxa"/>
            <w:tcBorders>
              <w:bottom w:val="single" w:sz="2" w:space="0" w:color="CCCCCC"/>
            </w:tcBorders>
          </w:tcPr>
          <w:p>
            <w:pPr>
              <w:pStyle w:val="CompactTableText"/>
              <w:bidi w:val="0"/>
              <w:spacing w:lineRule="auto" w:line="264" w:before="0" w:after="43"/>
              <w:jc w:val="start"/>
              <w:rPr/>
            </w:pPr>
            <w:r>
              <w:rPr/>
              <w:t>public source-supported; M; same; Printed6-62</w:t>
            </w:r>
          </w:p>
        </w:tc>
        <w:tc>
          <w:tcPr>
            <w:tcW w:w="3600" w:type="dxa"/>
            <w:tcBorders>
              <w:bottom w:val="single" w:sz="2" w:space="0" w:color="CCCCCC"/>
            </w:tcBorders>
          </w:tcPr>
          <w:p>
            <w:pPr>
              <w:pStyle w:val="CompactTableText"/>
              <w:bidi w:val="0"/>
              <w:spacing w:lineRule="auto" w:line="264" w:before="0" w:after="43"/>
              <w:jc w:val="start"/>
              <w:rPr/>
            </w:pPr>
            <w:r>
              <w:rPr/>
              <w:t>Selected related-application mark convention</w:t>
            </w:r>
          </w:p>
        </w:tc>
      </w:tr>
    </w:tbl>
    <w:p>
      <w:pPr>
        <w:pStyle w:val="LandscapeFigureHeading"/>
        <w:bidi w:val="0"/>
        <w:jc w:val="start"/>
        <w:rPr/>
      </w:pPr>
      <w:r>
        <w:rPr/>
        <w:t>Appendix C. Engineering specifications — T06 to T10</w:t>
      </w:r>
    </w:p>
    <w:p>
      <w:pPr>
        <w:pStyle w:val="TableCaption"/>
        <w:keepNext w:val="true"/>
        <w:bidi w:val="0"/>
        <w:jc w:val="start"/>
        <w:rPr/>
      </w:pPr>
      <w:r>
        <w:rPr/>
        <w:t>Table 20. Appendix C. Engineering specifications — T06 to T10</w:t>
      </w:r>
    </w:p>
    <w:tbl>
      <w:tblPr>
        <w:tblW w:w="12960" w:type="dxa"/>
        <w:jc w:val="start"/>
        <w:tblInd w:w="0" w:type="dxa"/>
        <w:tblLayout w:type="fixed"/>
        <w:tblCellMar>
          <w:top w:w="58" w:type="dxa"/>
          <w:start w:w="58" w:type="dxa"/>
          <w:bottom w:w="58" w:type="dxa"/>
          <w:end w:w="58" w:type="dxa"/>
        </w:tblCellMar>
      </w:tblPr>
      <w:tblGrid>
        <w:gridCol w:w="2160"/>
        <w:gridCol w:w="3600"/>
        <w:gridCol w:w="3600"/>
        <w:gridCol w:w="3600"/>
      </w:tblGrid>
      <w:tr>
        <w:trPr/>
        <w:tc>
          <w:tcPr>
            <w:tcW w:w="2160" w:type="dxa"/>
            <w:tcBorders>
              <w:bottom w:val="single" w:sz="2" w:space="0" w:color="CCCCCC"/>
            </w:tcBorders>
          </w:tcPr>
          <w:p>
            <w:pPr>
              <w:pStyle w:val="CompactTableText"/>
              <w:bidi w:val="0"/>
              <w:spacing w:lineRule="auto" w:line="264" w:before="0" w:after="43"/>
              <w:jc w:val="start"/>
              <w:rPr/>
            </w:pPr>
            <w:r>
              <w:rPr>
                <w:rStyle w:val="Tb"/>
              </w:rPr>
              <w:t>Specification</w:t>
            </w:r>
          </w:p>
        </w:tc>
        <w:tc>
          <w:tcPr>
            <w:tcW w:w="3600" w:type="dxa"/>
            <w:tcBorders>
              <w:bottom w:val="single" w:sz="2" w:space="0" w:color="CCCCCC"/>
            </w:tcBorders>
          </w:tcPr>
          <w:p>
            <w:pPr>
              <w:pStyle w:val="CompactTableText"/>
              <w:bidi w:val="0"/>
              <w:spacing w:lineRule="auto" w:line="264" w:before="0" w:after="43"/>
              <w:jc w:val="start"/>
              <w:rPr/>
            </w:pPr>
            <w:r>
              <w:rPr>
                <w:rStyle w:val="Tb"/>
              </w:rPr>
              <w:t>Benchmark value and scope</w:t>
            </w:r>
          </w:p>
        </w:tc>
        <w:tc>
          <w:tcPr>
            <w:tcW w:w="3600" w:type="dxa"/>
            <w:tcBorders>
              <w:bottom w:val="single" w:sz="2" w:space="0" w:color="CCCCCC"/>
            </w:tcBorders>
          </w:tcPr>
          <w:p>
            <w:pPr>
              <w:pStyle w:val="CompactTableText"/>
              <w:bidi w:val="0"/>
              <w:spacing w:lineRule="auto" w:line="264" w:before="0" w:after="43"/>
              <w:jc w:val="start"/>
              <w:rPr/>
            </w:pPr>
            <w:r>
              <w:rPr>
                <w:rStyle w:val="Tb"/>
              </w:rPr>
              <w:t>Basis and public-source value</w:t>
            </w:r>
          </w:p>
        </w:tc>
        <w:tc>
          <w:tcPr>
            <w:tcW w:w="3600" w:type="dxa"/>
            <w:tcBorders>
              <w:bottom w:val="single" w:sz="2" w:space="0" w:color="CCCCCC"/>
            </w:tcBorders>
          </w:tcPr>
          <w:p>
            <w:pPr>
              <w:pStyle w:val="CompactTableText"/>
              <w:bidi w:val="0"/>
              <w:spacing w:lineRule="auto" w:line="264" w:before="0" w:after="43"/>
              <w:jc w:val="start"/>
              <w:rPr/>
            </w:pPr>
            <w:r>
              <w:rPr>
                <w:rStyle w:val="Tb"/>
              </w:rPr>
              <w:t>Selection and disagreement or limit</w:t>
            </w:r>
          </w:p>
        </w:tc>
      </w:tr>
      <w:tr>
        <w:trPr/>
        <w:tc>
          <w:tcPr>
            <w:tcW w:w="2160" w:type="dxa"/>
            <w:tcBorders>
              <w:bottom w:val="single" w:sz="2" w:space="0" w:color="CCCCCC"/>
            </w:tcBorders>
          </w:tcPr>
          <w:p>
            <w:pPr>
              <w:pStyle w:val="CompactTableText"/>
              <w:bidi w:val="0"/>
              <w:spacing w:lineRule="auto" w:line="264" w:before="0" w:after="43"/>
              <w:jc w:val="start"/>
              <w:rPr/>
            </w:pPr>
            <w:r>
              <w:rPr/>
              <w:t>T06: Cam mark</w:t>
            </w:r>
          </w:p>
        </w:tc>
        <w:tc>
          <w:tcPr>
            <w:tcW w:w="3600" w:type="dxa"/>
            <w:tcBorders>
              <w:bottom w:val="single" w:sz="2" w:space="0" w:color="CCCCCC"/>
            </w:tcBorders>
          </w:tcPr>
          <w:p>
            <w:pPr>
              <w:pStyle w:val="CompactTableText"/>
              <w:bidi w:val="0"/>
              <w:spacing w:lineRule="auto" w:line="264" w:before="0" w:after="43"/>
              <w:jc w:val="start"/>
              <w:rPr/>
            </w:pPr>
            <w:r>
              <w:rPr/>
              <w:t>rear-cover pointer; UP upward alignment; active benchmark</w:t>
            </w:r>
          </w:p>
        </w:tc>
        <w:tc>
          <w:tcPr>
            <w:tcW w:w="3600" w:type="dxa"/>
            <w:tcBorders>
              <w:bottom w:val="single" w:sz="2" w:space="0" w:color="CCCCCC"/>
            </w:tcBorders>
          </w:tcPr>
          <w:p>
            <w:pPr>
              <w:pStyle w:val="CompactTableText"/>
              <w:bidi w:val="0"/>
              <w:spacing w:lineRule="auto" w:line="264" w:before="0" w:after="43"/>
              <w:jc w:val="start"/>
              <w:rPr/>
            </w:pPr>
            <w:r>
              <w:rPr/>
              <w:t>public source-supported; M; same; Printed6-62 selected application</w:t>
            </w:r>
          </w:p>
        </w:tc>
        <w:tc>
          <w:tcPr>
            <w:tcW w:w="3600" w:type="dxa"/>
            <w:tcBorders>
              <w:bottom w:val="single" w:sz="2" w:space="0" w:color="CCCCCC"/>
            </w:tcBorders>
          </w:tcPr>
          <w:p>
            <w:pPr>
              <w:pStyle w:val="CompactTableText"/>
              <w:bidi w:val="0"/>
              <w:spacing w:lineRule="auto" w:line="264" w:before="0" w:after="43"/>
              <w:jc w:val="start"/>
              <w:rPr/>
            </w:pPr>
            <w:r>
              <w:rPr/>
              <w:t>Selected source application; other diagrams differ Head-surface/dual-pointer diagrams belong to other source applications.</w:t>
            </w:r>
          </w:p>
        </w:tc>
      </w:tr>
      <w:tr>
        <w:trPr/>
        <w:tc>
          <w:tcPr>
            <w:tcW w:w="2160" w:type="dxa"/>
            <w:tcBorders>
              <w:bottom w:val="single" w:sz="2" w:space="0" w:color="CCCCCC"/>
            </w:tcBorders>
          </w:tcPr>
          <w:p>
            <w:pPr>
              <w:pStyle w:val="CompactTableText"/>
              <w:bidi w:val="0"/>
              <w:spacing w:lineRule="auto" w:line="264" w:before="0" w:after="43"/>
              <w:jc w:val="start"/>
              <w:rPr/>
            </w:pPr>
            <w:r>
              <w:rPr/>
              <w:t>T07: Reference seating/recheck turns</w:t>
            </w:r>
          </w:p>
        </w:tc>
        <w:tc>
          <w:tcPr>
            <w:tcW w:w="3600" w:type="dxa"/>
            <w:tcBorders>
              <w:bottom w:val="single" w:sz="2" w:space="0" w:color="CCCCCC"/>
            </w:tcBorders>
          </w:tcPr>
          <w:p>
            <w:pPr>
              <w:pStyle w:val="CompactTableText"/>
              <w:bidi w:val="0"/>
              <w:spacing w:lineRule="auto" w:line="264" w:before="0" w:after="43"/>
              <w:jc w:val="start"/>
              <w:rPr/>
            </w:pPr>
            <w:r>
              <w:rPr/>
              <w:t>4 crank revolutions; active benchmark</w:t>
            </w:r>
          </w:p>
        </w:tc>
        <w:tc>
          <w:tcPr>
            <w:tcW w:w="3600" w:type="dxa"/>
            <w:tcBorders>
              <w:bottom w:val="single" w:sz="2" w:space="0" w:color="CCCCCC"/>
            </w:tcBorders>
          </w:tcPr>
          <w:p>
            <w:pPr>
              <w:pStyle w:val="CompactTableText"/>
              <w:bidi w:val="0"/>
              <w:spacing w:lineRule="auto" w:line="264" w:before="0" w:after="43"/>
              <w:jc w:val="start"/>
              <w:rPr/>
            </w:pPr>
            <w:r>
              <w:rPr/>
              <w:t>benchmark policy choice; M; about 4 or 6 clockwise turns; Printed6-63</w:t>
            </w:r>
          </w:p>
        </w:tc>
        <w:tc>
          <w:tcPr>
            <w:tcW w:w="3600" w:type="dxa"/>
            <w:tcBorders>
              <w:bottom w:val="single" w:sz="2" w:space="0" w:color="CCCCCC"/>
            </w:tcBorders>
          </w:tcPr>
          <w:p>
            <w:pPr>
              <w:pStyle w:val="CompactTableText"/>
              <w:bidi w:val="0"/>
              <w:spacing w:lineRule="auto" w:line="264" w:before="0" w:after="43"/>
              <w:jc w:val="start"/>
              <w:rPr/>
            </w:pPr>
            <w:r>
              <w:rPr/>
              <w:t>Keep existing scripted reference convention with correct source attribution S1 page20 says5–6 counterclockwise turns; conflicting direction/count explicitly retained.</w:t>
            </w:r>
          </w:p>
        </w:tc>
      </w:tr>
      <w:tr>
        <w:trPr/>
        <w:tc>
          <w:tcPr>
            <w:tcW w:w="2160" w:type="dxa"/>
            <w:tcBorders>
              <w:bottom w:val="single" w:sz="2" w:space="0" w:color="CCCCCC"/>
            </w:tcBorders>
          </w:tcPr>
          <w:p>
            <w:pPr>
              <w:pStyle w:val="CompactTableText"/>
              <w:bidi w:val="0"/>
              <w:spacing w:lineRule="auto" w:line="264" w:before="0" w:after="43"/>
              <w:jc w:val="start"/>
              <w:rPr/>
            </w:pPr>
            <w:r>
              <w:rPr/>
              <w:t>T08: Reference seating direction</w:t>
            </w:r>
          </w:p>
        </w:tc>
        <w:tc>
          <w:tcPr>
            <w:tcW w:w="3600" w:type="dxa"/>
            <w:tcBorders>
              <w:bottom w:val="single" w:sz="2" w:space="0" w:color="CCCCCC"/>
            </w:tcBorders>
          </w:tcPr>
          <w:p>
            <w:pPr>
              <w:pStyle w:val="CompactTableText"/>
              <w:bidi w:val="0"/>
              <w:spacing w:lineRule="auto" w:line="264" w:before="0" w:after="43"/>
              <w:jc w:val="start"/>
              <w:rPr/>
            </w:pPr>
            <w:r>
              <w:rPr/>
              <w:t>clockwise viewed from pulley side; active benchmark</w:t>
            </w:r>
          </w:p>
        </w:tc>
        <w:tc>
          <w:tcPr>
            <w:tcW w:w="3600" w:type="dxa"/>
            <w:tcBorders>
              <w:bottom w:val="single" w:sz="2" w:space="0" w:color="CCCCCC"/>
            </w:tcBorders>
          </w:tcPr>
          <w:p>
            <w:pPr>
              <w:pStyle w:val="CompactTableText"/>
              <w:bidi w:val="0"/>
              <w:spacing w:lineRule="auto" w:line="264" w:before="0" w:after="43"/>
              <w:jc w:val="start"/>
              <w:rPr/>
            </w:pPr>
            <w:r>
              <w:rPr/>
              <w:t>benchmark policy choice; M|S1; M: clockwise; S1: counterclockwise; M 6-63 versus S1p20</w:t>
            </w:r>
          </w:p>
        </w:tc>
        <w:tc>
          <w:tcPr>
            <w:tcW w:w="3600" w:type="dxa"/>
            <w:tcBorders>
              <w:bottom w:val="single" w:sz="2" w:space="0" w:color="CCCCCC"/>
            </w:tcBorders>
          </w:tcPr>
          <w:p>
            <w:pPr>
              <w:pStyle w:val="CompactTableText"/>
              <w:bidi w:val="0"/>
              <w:spacing w:lineRule="auto" w:line="264" w:before="0" w:after="43"/>
              <w:jc w:val="start"/>
              <w:rPr/>
            </w:pPr>
            <w:r>
              <w:rPr/>
              <w:t>Existing benchmark selects M for this seating step Documentation convention only: check_timing does not simulate or expose rotation direction. Tension adjustment is separately counterclockwise; E10 must not attribute clockwise motion to S1.</w:t>
            </w:r>
          </w:p>
        </w:tc>
      </w:tr>
      <w:tr>
        <w:trPr/>
        <w:tc>
          <w:tcPr>
            <w:tcW w:w="2160" w:type="dxa"/>
            <w:tcBorders>
              <w:bottom w:val="single" w:sz="2" w:space="0" w:color="CCCCCC"/>
            </w:tcBorders>
          </w:tcPr>
          <w:p>
            <w:pPr>
              <w:pStyle w:val="CompactTableText"/>
              <w:bidi w:val="0"/>
              <w:spacing w:lineRule="auto" w:line="264" w:before="0" w:after="43"/>
              <w:jc w:val="start"/>
              <w:rPr/>
            </w:pPr>
            <w:r>
              <w:rPr/>
              <w:t>T09: Timing-check input domain</w:t>
            </w:r>
          </w:p>
        </w:tc>
        <w:tc>
          <w:tcPr>
            <w:tcW w:w="3600" w:type="dxa"/>
            <w:tcBorders>
              <w:bottom w:val="single" w:sz="2" w:space="0" w:color="CCCCCC"/>
            </w:tcBorders>
          </w:tcPr>
          <w:p>
            <w:pPr>
              <w:pStyle w:val="CompactTableText"/>
              <w:bidi w:val="0"/>
              <w:spacing w:lineRule="auto" w:line="264" w:before="0" w:after="43"/>
              <w:jc w:val="start"/>
              <w:rPr/>
            </w:pPr>
            <w:r>
              <w:rPr/>
              <w:t>1 through6 integer crank revolutions; active benchmark</w:t>
            </w:r>
          </w:p>
        </w:tc>
        <w:tc>
          <w:tcPr>
            <w:tcW w:w="3600" w:type="dxa"/>
            <w:tcBorders>
              <w:bottom w:val="single" w:sz="2" w:space="0" w:color="CCCCCC"/>
            </w:tcBorders>
          </w:tcPr>
          <w:p>
            <w:pPr>
              <w:pStyle w:val="CompactTableText"/>
              <w:bidi w:val="0"/>
              <w:spacing w:lineRule="auto" w:line="264" w:before="0" w:after="43"/>
              <w:jc w:val="start"/>
              <w:rPr/>
            </w:pPr>
            <w:r>
              <w:rPr/>
              <w:t>benchmark policy choice</w:t>
            </w:r>
          </w:p>
        </w:tc>
        <w:tc>
          <w:tcPr>
            <w:tcW w:w="3600" w:type="dxa"/>
            <w:tcBorders>
              <w:bottom w:val="single" w:sz="2" w:space="0" w:color="CCCCCC"/>
            </w:tcBorders>
          </w:tcPr>
          <w:p>
            <w:pPr>
              <w:pStyle w:val="CompactTableText"/>
              <w:bidi w:val="0"/>
              <w:spacing w:lineRule="auto" w:line="264" w:before="0" w:after="43"/>
              <w:jc w:val="start"/>
              <w:rPr/>
            </w:pPr>
            <w:r>
              <w:rPr/>
              <w:t>API resource/domain bound Not proof that any permitted count completes a real service procedure.</w:t>
            </w:r>
          </w:p>
        </w:tc>
      </w:tr>
      <w:tr>
        <w:trPr/>
        <w:tc>
          <w:tcPr>
            <w:tcW w:w="2160" w:type="dxa"/>
            <w:tcBorders>
              <w:bottom w:val="single" w:sz="2" w:space="0" w:color="CCCCCC"/>
            </w:tcBorders>
          </w:tcPr>
          <w:p>
            <w:pPr>
              <w:pStyle w:val="CompactTableText"/>
              <w:bidi w:val="0"/>
              <w:spacing w:lineRule="auto" w:line="264" w:before="0" w:after="43"/>
              <w:jc w:val="start"/>
              <w:rPr/>
            </w:pPr>
            <w:r>
              <w:rPr/>
              <w:t>T10: Pre-removal reference check</w:t>
            </w:r>
          </w:p>
        </w:tc>
        <w:tc>
          <w:tcPr>
            <w:tcW w:w="3600" w:type="dxa"/>
            <w:tcBorders>
              <w:bottom w:val="single" w:sz="2" w:space="0" w:color="CCCCCC"/>
            </w:tcBorders>
          </w:tcPr>
          <w:p>
            <w:pPr>
              <w:pStyle w:val="CompactTableText"/>
              <w:bidi w:val="0"/>
              <w:spacing w:lineRule="auto" w:line="264" w:before="0" w:after="43"/>
              <w:jc w:val="start"/>
              <w:rPr/>
            </w:pPr>
            <w:r>
              <w:rPr/>
              <w:t>1 crank revolution; active benchmark</w:t>
            </w:r>
          </w:p>
        </w:tc>
        <w:tc>
          <w:tcPr>
            <w:tcW w:w="3600" w:type="dxa"/>
            <w:tcBorders>
              <w:bottom w:val="single" w:sz="2" w:space="0" w:color="CCCCCC"/>
            </w:tcBorders>
          </w:tcPr>
          <w:p>
            <w:pPr>
              <w:pStyle w:val="CompactTableText"/>
              <w:bidi w:val="0"/>
              <w:spacing w:lineRule="auto" w:line="264" w:before="0" w:after="43"/>
              <w:jc w:val="start"/>
              <w:rPr/>
            </w:pPr>
            <w:r>
              <w:rPr/>
              <w:t>benchmark policy choice</w:t>
            </w:r>
          </w:p>
        </w:tc>
        <w:tc>
          <w:tcPr>
            <w:tcW w:w="3600" w:type="dxa"/>
            <w:tcBorders>
              <w:bottom w:val="single" w:sz="2" w:space="0" w:color="CCCCCC"/>
            </w:tcBorders>
          </w:tcPr>
          <w:p>
            <w:pPr>
              <w:pStyle w:val="CompactTableText"/>
              <w:bidi w:val="0"/>
              <w:spacing w:lineRule="auto" w:line="264" w:before="0" w:after="43"/>
              <w:jc w:val="start"/>
              <w:rPr/>
            </w:pPr>
            <w:r>
              <w:rPr/>
              <w:t>Scripted compression-datum inspection before removal Discrete check; does not execute physical rotation.</w:t>
            </w:r>
          </w:p>
        </w:tc>
      </w:tr>
    </w:tbl>
    <w:p>
      <w:pPr>
        <w:pStyle w:val="LandscapeFigureHeading"/>
        <w:bidi w:val="0"/>
        <w:jc w:val="start"/>
        <w:rPr/>
      </w:pPr>
      <w:r>
        <w:rPr/>
        <w:t>Appendix C. Engineering specifications — T11 to T15</w:t>
      </w:r>
    </w:p>
    <w:p>
      <w:pPr>
        <w:pStyle w:val="TableCaption"/>
        <w:keepNext w:val="true"/>
        <w:bidi w:val="0"/>
        <w:jc w:val="start"/>
        <w:rPr/>
      </w:pPr>
      <w:r>
        <w:rPr/>
        <w:t>Table 21. Appendix C. Engineering specifications — T11 to T15</w:t>
      </w:r>
    </w:p>
    <w:tbl>
      <w:tblPr>
        <w:tblW w:w="12960" w:type="dxa"/>
        <w:jc w:val="start"/>
        <w:tblInd w:w="0" w:type="dxa"/>
        <w:tblLayout w:type="fixed"/>
        <w:tblCellMar>
          <w:top w:w="58" w:type="dxa"/>
          <w:start w:w="58" w:type="dxa"/>
          <w:bottom w:w="58" w:type="dxa"/>
          <w:end w:w="58" w:type="dxa"/>
        </w:tblCellMar>
      </w:tblPr>
      <w:tblGrid>
        <w:gridCol w:w="2160"/>
        <w:gridCol w:w="3600"/>
        <w:gridCol w:w="3600"/>
        <w:gridCol w:w="3600"/>
      </w:tblGrid>
      <w:tr>
        <w:trPr/>
        <w:tc>
          <w:tcPr>
            <w:tcW w:w="2160" w:type="dxa"/>
            <w:tcBorders>
              <w:bottom w:val="single" w:sz="2" w:space="0" w:color="CCCCCC"/>
            </w:tcBorders>
          </w:tcPr>
          <w:p>
            <w:pPr>
              <w:pStyle w:val="CompactTableText"/>
              <w:bidi w:val="0"/>
              <w:spacing w:lineRule="auto" w:line="264" w:before="0" w:after="43"/>
              <w:jc w:val="start"/>
              <w:rPr/>
            </w:pPr>
            <w:r>
              <w:rPr>
                <w:rStyle w:val="Tb"/>
              </w:rPr>
              <w:t>Specification</w:t>
            </w:r>
          </w:p>
        </w:tc>
        <w:tc>
          <w:tcPr>
            <w:tcW w:w="3600" w:type="dxa"/>
            <w:tcBorders>
              <w:bottom w:val="single" w:sz="2" w:space="0" w:color="CCCCCC"/>
            </w:tcBorders>
          </w:tcPr>
          <w:p>
            <w:pPr>
              <w:pStyle w:val="CompactTableText"/>
              <w:bidi w:val="0"/>
              <w:spacing w:lineRule="auto" w:line="264" w:before="0" w:after="43"/>
              <w:jc w:val="start"/>
              <w:rPr/>
            </w:pPr>
            <w:r>
              <w:rPr>
                <w:rStyle w:val="Tb"/>
              </w:rPr>
              <w:t>Benchmark value and scope</w:t>
            </w:r>
          </w:p>
        </w:tc>
        <w:tc>
          <w:tcPr>
            <w:tcW w:w="3600" w:type="dxa"/>
            <w:tcBorders>
              <w:bottom w:val="single" w:sz="2" w:space="0" w:color="CCCCCC"/>
            </w:tcBorders>
          </w:tcPr>
          <w:p>
            <w:pPr>
              <w:pStyle w:val="CompactTableText"/>
              <w:bidi w:val="0"/>
              <w:spacing w:lineRule="auto" w:line="264" w:before="0" w:after="43"/>
              <w:jc w:val="start"/>
              <w:rPr/>
            </w:pPr>
            <w:r>
              <w:rPr>
                <w:rStyle w:val="Tb"/>
              </w:rPr>
              <w:t>Basis and public-source value</w:t>
            </w:r>
          </w:p>
        </w:tc>
        <w:tc>
          <w:tcPr>
            <w:tcW w:w="3600" w:type="dxa"/>
            <w:tcBorders>
              <w:bottom w:val="single" w:sz="2" w:space="0" w:color="CCCCCC"/>
            </w:tcBorders>
          </w:tcPr>
          <w:p>
            <w:pPr>
              <w:pStyle w:val="CompactTableText"/>
              <w:bidi w:val="0"/>
              <w:spacing w:lineRule="auto" w:line="264" w:before="0" w:after="43"/>
              <w:jc w:val="start"/>
              <w:rPr/>
            </w:pPr>
            <w:r>
              <w:rPr>
                <w:rStyle w:val="Tb"/>
              </w:rPr>
              <w:t>Selection and disagreement or limit</w:t>
            </w:r>
          </w:p>
        </w:tc>
      </w:tr>
      <w:tr>
        <w:trPr/>
        <w:tc>
          <w:tcPr>
            <w:tcW w:w="2160" w:type="dxa"/>
            <w:tcBorders>
              <w:bottom w:val="single" w:sz="2" w:space="0" w:color="CCCCCC"/>
            </w:tcBorders>
          </w:tcPr>
          <w:p>
            <w:pPr>
              <w:pStyle w:val="CompactTableText"/>
              <w:bidi w:val="0"/>
              <w:spacing w:lineRule="auto" w:line="264" w:before="0" w:after="43"/>
              <w:jc w:val="start"/>
              <w:rPr/>
            </w:pPr>
            <w:r>
              <w:rPr/>
              <w:t>T11: Wrong-timing control phase</w:t>
            </w:r>
          </w:p>
        </w:tc>
        <w:tc>
          <w:tcPr>
            <w:tcW w:w="3600" w:type="dxa"/>
            <w:tcBorders>
              <w:bottom w:val="single" w:sz="2" w:space="0" w:color="CCCCCC"/>
            </w:tcBorders>
          </w:tcPr>
          <w:p>
            <w:pPr>
              <w:pStyle w:val="CompactTableText"/>
              <w:bidi w:val="0"/>
              <w:spacing w:lineRule="auto" w:line="264" w:before="0" w:after="43"/>
              <w:jc w:val="start"/>
              <w:rPr/>
            </w:pPr>
            <w:r>
              <w:rPr/>
              <w:t>15 cam degrees; active benchmark</w:t>
            </w:r>
          </w:p>
        </w:tc>
        <w:tc>
          <w:tcPr>
            <w:tcW w:w="3600" w:type="dxa"/>
            <w:tcBorders>
              <w:bottom w:val="single" w:sz="2" w:space="0" w:color="CCCCCC"/>
            </w:tcBorders>
          </w:tcPr>
          <w:p>
            <w:pPr>
              <w:pStyle w:val="CompactTableText"/>
              <w:bidi w:val="0"/>
              <w:spacing w:lineRule="auto" w:line="264" w:before="0" w:after="43"/>
              <w:jc w:val="start"/>
              <w:rPr/>
            </w:pPr>
            <w:r>
              <w:rPr/>
              <w:t>benchmark policy choice</w:t>
            </w:r>
          </w:p>
        </w:tc>
        <w:tc>
          <w:tcPr>
            <w:tcW w:w="3600" w:type="dxa"/>
            <w:tcBorders>
              <w:bottom w:val="single" w:sz="2" w:space="0" w:color="CCCCCC"/>
            </w:tcBorders>
          </w:tcPr>
          <w:p>
            <w:pPr>
              <w:pStyle w:val="CompactTableText"/>
              <w:bidi w:val="0"/>
              <w:spacing w:lineRule="auto" w:line="264" w:before="0" w:after="43"/>
              <w:jc w:val="start"/>
              <w:rPr/>
            </w:pPr>
            <w:r>
              <w:rPr/>
              <w:t>Authored misalignment control at crank0</w:t>
            </w:r>
          </w:p>
        </w:tc>
      </w:tr>
      <w:tr>
        <w:trPr/>
        <w:tc>
          <w:tcPr>
            <w:tcW w:w="2160" w:type="dxa"/>
            <w:tcBorders>
              <w:bottom w:val="single" w:sz="2" w:space="0" w:color="CCCCCC"/>
            </w:tcBorders>
          </w:tcPr>
          <w:p>
            <w:pPr>
              <w:pStyle w:val="CompactTableText"/>
              <w:bidi w:val="0"/>
              <w:spacing w:lineRule="auto" w:line="264" w:before="0" w:after="43"/>
              <w:jc w:val="start"/>
              <w:rPr/>
            </w:pPr>
            <w:r>
              <w:rPr/>
              <w:t>T12: Belt installation order</w:t>
            </w:r>
          </w:p>
        </w:tc>
        <w:tc>
          <w:tcPr>
            <w:tcW w:w="3600" w:type="dxa"/>
            <w:tcBorders>
              <w:bottom w:val="single" w:sz="2" w:space="0" w:color="CCCCCC"/>
            </w:tcBorders>
          </w:tcPr>
          <w:p>
            <w:pPr>
              <w:pStyle w:val="CompactTableText"/>
              <w:bidi w:val="0"/>
              <w:spacing w:lineRule="auto" w:line="264" w:before="0" w:after="43"/>
              <w:jc w:val="start"/>
              <w:rPr/>
            </w:pPr>
            <w:r>
              <w:rPr/>
              <w:t>crank;adjuster;water pump;cam sequence; active benchmark</w:t>
            </w:r>
          </w:p>
        </w:tc>
        <w:tc>
          <w:tcPr>
            <w:tcW w:w="3600" w:type="dxa"/>
            <w:tcBorders>
              <w:bottom w:val="single" w:sz="2" w:space="0" w:color="CCCCCC"/>
            </w:tcBorders>
          </w:tcPr>
          <w:p>
            <w:pPr>
              <w:pStyle w:val="CompactTableText"/>
              <w:bidi w:val="0"/>
              <w:spacing w:lineRule="auto" w:line="264" w:before="0" w:after="43"/>
              <w:jc w:val="start"/>
              <w:rPr/>
            </w:pPr>
            <w:r>
              <w:rPr/>
              <w:t>public source-supported; M|S1; same; M 6-62; S1p20</w:t>
            </w:r>
          </w:p>
        </w:tc>
        <w:tc>
          <w:tcPr>
            <w:tcW w:w="3600" w:type="dxa"/>
            <w:tcBorders>
              <w:bottom w:val="single" w:sz="2" w:space="0" w:color="CCCCCC"/>
            </w:tcBorders>
          </w:tcPr>
          <w:p>
            <w:pPr>
              <w:pStyle w:val="CompactTableText"/>
              <w:bidi w:val="0"/>
              <w:spacing w:lineRule="auto" w:line="264" w:before="0" w:after="43"/>
              <w:jc w:val="start"/>
              <w:rPr/>
            </w:pPr>
            <w:r>
              <w:rPr/>
              <w:t>Related service sequence Abstract belt install is not a routed belt simulation.</w:t>
            </w:r>
          </w:p>
        </w:tc>
      </w:tr>
      <w:tr>
        <w:trPr/>
        <w:tc>
          <w:tcPr>
            <w:tcW w:w="2160" w:type="dxa"/>
            <w:tcBorders>
              <w:bottom w:val="single" w:sz="2" w:space="0" w:color="CCCCCC"/>
            </w:tcBorders>
          </w:tcPr>
          <w:p>
            <w:pPr>
              <w:pStyle w:val="CompactTableText"/>
              <w:bidi w:val="0"/>
              <w:spacing w:lineRule="auto" w:line="264" w:before="0" w:after="43"/>
              <w:jc w:val="start"/>
              <w:rPr/>
            </w:pPr>
            <w:r>
              <w:rPr/>
              <w:t>T13: Tension-adjustment direction</w:t>
            </w:r>
          </w:p>
        </w:tc>
        <w:tc>
          <w:tcPr>
            <w:tcW w:w="3600" w:type="dxa"/>
            <w:tcBorders>
              <w:bottom w:val="single" w:sz="2" w:space="0" w:color="CCCCCC"/>
            </w:tcBorders>
          </w:tcPr>
          <w:p>
            <w:pPr>
              <w:pStyle w:val="CompactTableText"/>
              <w:bidi w:val="0"/>
              <w:spacing w:lineRule="auto" w:line="264" w:before="0" w:after="43"/>
              <w:jc w:val="start"/>
              <w:rPr/>
            </w:pPr>
            <w:r>
              <w:rPr/>
              <w:t>counterclockwise pulley-side view; active benchmark</w:t>
            </w:r>
          </w:p>
        </w:tc>
        <w:tc>
          <w:tcPr>
            <w:tcW w:w="3600" w:type="dxa"/>
            <w:tcBorders>
              <w:bottom w:val="single" w:sz="2" w:space="0" w:color="CCCCCC"/>
            </w:tcBorders>
          </w:tcPr>
          <w:p>
            <w:pPr>
              <w:pStyle w:val="CompactTableText"/>
              <w:bidi w:val="0"/>
              <w:spacing w:lineRule="auto" w:line="264" w:before="0" w:after="43"/>
              <w:jc w:val="start"/>
              <w:rPr/>
            </w:pPr>
            <w:r>
              <w:rPr/>
              <w:t>public source-supported; M|S1|A; same; M 6-58; S1p3; A PDFp6</w:t>
            </w:r>
          </w:p>
        </w:tc>
        <w:tc>
          <w:tcPr>
            <w:tcW w:w="3600" w:type="dxa"/>
            <w:tcBorders>
              <w:bottom w:val="single" w:sz="2" w:space="0" w:color="CCCCCC"/>
            </w:tcBorders>
          </w:tcPr>
          <w:p>
            <w:pPr>
              <w:pStyle w:val="CompactTableText"/>
              <w:bidi w:val="0"/>
              <w:spacing w:lineRule="auto" w:line="264" w:before="0" w:after="43"/>
              <w:jc w:val="start"/>
              <w:rPr/>
            </w:pPr>
            <w:r>
              <w:rPr/>
              <w:t>Distinct from selected seating step Abstract tension_belt records state without these physical motions.</w:t>
            </w:r>
          </w:p>
        </w:tc>
      </w:tr>
      <w:tr>
        <w:trPr/>
        <w:tc>
          <w:tcPr>
            <w:tcW w:w="2160" w:type="dxa"/>
            <w:tcBorders>
              <w:bottom w:val="single" w:sz="2" w:space="0" w:color="CCCCCC"/>
            </w:tcBorders>
          </w:tcPr>
          <w:p>
            <w:pPr>
              <w:pStyle w:val="CompactTableText"/>
              <w:bidi w:val="0"/>
              <w:spacing w:lineRule="auto" w:line="264" w:before="0" w:after="43"/>
              <w:jc w:val="start"/>
              <w:rPr/>
            </w:pPr>
            <w:r>
              <w:rPr/>
              <w:t>T14: Adjuster release for tension</w:t>
            </w:r>
          </w:p>
        </w:tc>
        <w:tc>
          <w:tcPr>
            <w:tcW w:w="3600" w:type="dxa"/>
            <w:tcBorders>
              <w:bottom w:val="single" w:sz="2" w:space="0" w:color="CCCCCC"/>
            </w:tcBorders>
          </w:tcPr>
          <w:p>
            <w:pPr>
              <w:pStyle w:val="CompactTableText"/>
              <w:bidi w:val="0"/>
              <w:spacing w:lineRule="auto" w:line="264" w:before="0" w:after="43"/>
              <w:jc w:val="start"/>
              <w:rPr/>
            </w:pPr>
            <w:r>
              <w:rPr/>
              <w:t>180 degrees; related reference; abstracted operation</w:t>
            </w:r>
          </w:p>
        </w:tc>
        <w:tc>
          <w:tcPr>
            <w:tcW w:w="3600" w:type="dxa"/>
            <w:tcBorders>
              <w:bottom w:val="single" w:sz="2" w:space="0" w:color="CCCCCC"/>
            </w:tcBorders>
          </w:tcPr>
          <w:p>
            <w:pPr>
              <w:pStyle w:val="CompactTableText"/>
              <w:bidi w:val="0"/>
              <w:spacing w:lineRule="auto" w:line="264" w:before="0" w:after="43"/>
              <w:jc w:val="start"/>
              <w:rPr/>
            </w:pPr>
            <w:r>
              <w:rPr/>
              <w:t>public source-supported; M|S1|A; 180; M 6-58; S1p3; A PDFp6</w:t>
            </w:r>
          </w:p>
        </w:tc>
        <w:tc>
          <w:tcPr>
            <w:tcW w:w="3600" w:type="dxa"/>
            <w:tcBorders>
              <w:bottom w:val="single" w:sz="2" w:space="0" w:color="CCCCCC"/>
            </w:tcBorders>
          </w:tcPr>
          <w:p>
            <w:pPr>
              <w:pStyle w:val="CompactTableText"/>
              <w:bidi w:val="0"/>
              <w:spacing w:lineRule="auto" w:line="264" w:before="0" w:after="43"/>
              <w:jc w:val="start"/>
              <w:rPr/>
            </w:pPr>
            <w:r>
              <w:rPr/>
              <w:t>Related service instruction Reference instruction; abstract API does not expose adjusting-bolt motion.</w:t>
            </w:r>
          </w:p>
        </w:tc>
      </w:tr>
      <w:tr>
        <w:trPr/>
        <w:tc>
          <w:tcPr>
            <w:tcW w:w="2160" w:type="dxa"/>
            <w:tcBorders>
              <w:bottom w:val="single" w:sz="2" w:space="0" w:color="CCCCCC"/>
            </w:tcBorders>
          </w:tcPr>
          <w:p>
            <w:pPr>
              <w:pStyle w:val="CompactTableText"/>
              <w:bidi w:val="0"/>
              <w:spacing w:lineRule="auto" w:line="264" w:before="0" w:after="43"/>
              <w:jc w:val="start"/>
              <w:rPr/>
            </w:pPr>
            <w:r>
              <w:rPr/>
              <w:t>T15: Tension-creating movement</w:t>
            </w:r>
          </w:p>
        </w:tc>
        <w:tc>
          <w:tcPr>
            <w:tcW w:w="3600" w:type="dxa"/>
            <w:tcBorders>
              <w:bottom w:val="single" w:sz="2" w:space="0" w:color="CCCCCC"/>
            </w:tcBorders>
          </w:tcPr>
          <w:p>
            <w:pPr>
              <w:pStyle w:val="CompactTableText"/>
              <w:bidi w:val="0"/>
              <w:spacing w:lineRule="auto" w:line="264" w:before="0" w:after="43"/>
              <w:jc w:val="start"/>
              <w:rPr/>
            </w:pPr>
            <w:r>
              <w:rPr/>
              <w:t>3 cam-pulley teeth; related reference; abstracted operation</w:t>
            </w:r>
          </w:p>
        </w:tc>
        <w:tc>
          <w:tcPr>
            <w:tcW w:w="3600" w:type="dxa"/>
            <w:tcBorders>
              <w:bottom w:val="single" w:sz="2" w:space="0" w:color="CCCCCC"/>
            </w:tcBorders>
          </w:tcPr>
          <w:p>
            <w:pPr>
              <w:pStyle w:val="CompactTableText"/>
              <w:bidi w:val="0"/>
              <w:spacing w:lineRule="auto" w:line="264" w:before="0" w:after="43"/>
              <w:jc w:val="start"/>
              <w:rPr/>
            </w:pPr>
            <w:r>
              <w:rPr/>
              <w:t>public source-supported; M|S1|A; 3 counterclockwise; M 6-58; S1p3; A PDFp6</w:t>
            </w:r>
          </w:p>
        </w:tc>
        <w:tc>
          <w:tcPr>
            <w:tcW w:w="3600" w:type="dxa"/>
            <w:tcBorders>
              <w:bottom w:val="single" w:sz="2" w:space="0" w:color="CCCCCC"/>
            </w:tcBorders>
          </w:tcPr>
          <w:p>
            <w:pPr>
              <w:pStyle w:val="CompactTableText"/>
              <w:bidi w:val="0"/>
              <w:spacing w:lineRule="auto" w:line="264" w:before="0" w:after="43"/>
              <w:jc w:val="start"/>
              <w:rPr/>
            </w:pPr>
            <w:r>
              <w:rPr/>
              <w:t>Related service instruction Do not call this three crank revolutions.</w:t>
            </w:r>
          </w:p>
        </w:tc>
      </w:tr>
    </w:tbl>
    <w:p>
      <w:pPr>
        <w:pStyle w:val="LandscapeFigureHeading"/>
        <w:bidi w:val="0"/>
        <w:jc w:val="start"/>
        <w:rPr/>
      </w:pPr>
      <w:r>
        <w:rPr/>
        <w:t>Appendix C. Engineering specifications — T16 to W01</w:t>
      </w:r>
    </w:p>
    <w:p>
      <w:pPr>
        <w:pStyle w:val="TableCaption"/>
        <w:keepNext w:val="true"/>
        <w:bidi w:val="0"/>
        <w:jc w:val="start"/>
        <w:rPr/>
      </w:pPr>
      <w:r>
        <w:rPr/>
        <w:t>Table 22. Appendix C. Engineering specifications — T16 to W01</w:t>
      </w:r>
    </w:p>
    <w:tbl>
      <w:tblPr>
        <w:tblW w:w="12960" w:type="dxa"/>
        <w:jc w:val="start"/>
        <w:tblInd w:w="0" w:type="dxa"/>
        <w:tblLayout w:type="fixed"/>
        <w:tblCellMar>
          <w:top w:w="58" w:type="dxa"/>
          <w:start w:w="58" w:type="dxa"/>
          <w:bottom w:w="58" w:type="dxa"/>
          <w:end w:w="58" w:type="dxa"/>
        </w:tblCellMar>
      </w:tblPr>
      <w:tblGrid>
        <w:gridCol w:w="2160"/>
        <w:gridCol w:w="3600"/>
        <w:gridCol w:w="3600"/>
        <w:gridCol w:w="3600"/>
      </w:tblGrid>
      <w:tr>
        <w:trPr/>
        <w:tc>
          <w:tcPr>
            <w:tcW w:w="2160" w:type="dxa"/>
            <w:tcBorders>
              <w:bottom w:val="single" w:sz="2" w:space="0" w:color="CCCCCC"/>
            </w:tcBorders>
          </w:tcPr>
          <w:p>
            <w:pPr>
              <w:pStyle w:val="CompactTableText"/>
              <w:bidi w:val="0"/>
              <w:spacing w:lineRule="auto" w:line="264" w:before="0" w:after="43"/>
              <w:jc w:val="start"/>
              <w:rPr/>
            </w:pPr>
            <w:r>
              <w:rPr>
                <w:rStyle w:val="Tb"/>
              </w:rPr>
              <w:t>Specification</w:t>
            </w:r>
          </w:p>
        </w:tc>
        <w:tc>
          <w:tcPr>
            <w:tcW w:w="3600" w:type="dxa"/>
            <w:tcBorders>
              <w:bottom w:val="single" w:sz="2" w:space="0" w:color="CCCCCC"/>
            </w:tcBorders>
          </w:tcPr>
          <w:p>
            <w:pPr>
              <w:pStyle w:val="CompactTableText"/>
              <w:bidi w:val="0"/>
              <w:spacing w:lineRule="auto" w:line="264" w:before="0" w:after="43"/>
              <w:jc w:val="start"/>
              <w:rPr/>
            </w:pPr>
            <w:r>
              <w:rPr>
                <w:rStyle w:val="Tb"/>
              </w:rPr>
              <w:t>Benchmark value and scope</w:t>
            </w:r>
          </w:p>
        </w:tc>
        <w:tc>
          <w:tcPr>
            <w:tcW w:w="3600" w:type="dxa"/>
            <w:tcBorders>
              <w:bottom w:val="single" w:sz="2" w:space="0" w:color="CCCCCC"/>
            </w:tcBorders>
          </w:tcPr>
          <w:p>
            <w:pPr>
              <w:pStyle w:val="CompactTableText"/>
              <w:bidi w:val="0"/>
              <w:spacing w:lineRule="auto" w:line="264" w:before="0" w:after="43"/>
              <w:jc w:val="start"/>
              <w:rPr/>
            </w:pPr>
            <w:r>
              <w:rPr>
                <w:rStyle w:val="Tb"/>
              </w:rPr>
              <w:t>Basis and public-source value</w:t>
            </w:r>
          </w:p>
        </w:tc>
        <w:tc>
          <w:tcPr>
            <w:tcW w:w="3600" w:type="dxa"/>
            <w:tcBorders>
              <w:bottom w:val="single" w:sz="2" w:space="0" w:color="CCCCCC"/>
            </w:tcBorders>
          </w:tcPr>
          <w:p>
            <w:pPr>
              <w:pStyle w:val="CompactTableText"/>
              <w:bidi w:val="0"/>
              <w:spacing w:lineRule="auto" w:line="264" w:before="0" w:after="43"/>
              <w:jc w:val="start"/>
              <w:rPr/>
            </w:pPr>
            <w:r>
              <w:rPr>
                <w:rStyle w:val="Tb"/>
              </w:rPr>
              <w:t>Selection and disagreement or limit</w:t>
            </w:r>
          </w:p>
        </w:tc>
      </w:tr>
      <w:tr>
        <w:trPr/>
        <w:tc>
          <w:tcPr>
            <w:tcW w:w="2160" w:type="dxa"/>
            <w:tcBorders>
              <w:bottom w:val="single" w:sz="2" w:space="0" w:color="CCCCCC"/>
            </w:tcBorders>
          </w:tcPr>
          <w:p>
            <w:pPr>
              <w:pStyle w:val="CompactTableText"/>
              <w:bidi w:val="0"/>
              <w:spacing w:lineRule="auto" w:line="264" w:before="0" w:after="43"/>
              <w:jc w:val="start"/>
              <w:rPr/>
            </w:pPr>
            <w:r>
              <w:rPr/>
              <w:t>T16: Replacement criteria</w:t>
            </w:r>
          </w:p>
        </w:tc>
        <w:tc>
          <w:tcPr>
            <w:tcW w:w="3600" w:type="dxa"/>
            <w:tcBorders>
              <w:bottom w:val="single" w:sz="2" w:space="0" w:color="CCCCCC"/>
            </w:tcBorders>
          </w:tcPr>
          <w:p>
            <w:pPr>
              <w:pStyle w:val="CompactTableText"/>
              <w:bidi w:val="0"/>
              <w:spacing w:lineRule="auto" w:line="264" w:before="0" w:after="43"/>
              <w:jc w:val="start"/>
              <w:rPr/>
            </w:pPr>
            <w:r>
              <w:rPr/>
              <w:t>cracks;oil/coolant contamination;tooth damage condition; active benchmark</w:t>
            </w:r>
          </w:p>
        </w:tc>
        <w:tc>
          <w:tcPr>
            <w:tcW w:w="3600" w:type="dxa"/>
            <w:tcBorders>
              <w:bottom w:val="single" w:sz="2" w:space="0" w:color="CCCCCC"/>
            </w:tcBorders>
          </w:tcPr>
          <w:p>
            <w:pPr>
              <w:pStyle w:val="CompactTableText"/>
              <w:bidi w:val="0"/>
              <w:spacing w:lineRule="auto" w:line="264" w:before="0" w:after="43"/>
              <w:jc w:val="start"/>
              <w:rPr/>
            </w:pPr>
            <w:r>
              <w:rPr/>
              <w:t>public source-supported; S1; same; Printedp3</w:t>
            </w:r>
          </w:p>
        </w:tc>
        <w:tc>
          <w:tcPr>
            <w:tcW w:w="3600" w:type="dxa"/>
            <w:tcBorders>
              <w:bottom w:val="single" w:sz="2" w:space="0" w:color="CCCCCC"/>
            </w:tcBorders>
          </w:tcPr>
          <w:p>
            <w:pPr>
              <w:pStyle w:val="CompactTableText"/>
              <w:bidi w:val="0"/>
              <w:spacing w:lineRule="auto" w:line="264" w:before="0" w:after="43"/>
              <w:jc w:val="start"/>
              <w:rPr/>
            </w:pPr>
            <w:r>
              <w:rPr/>
              <w:t>Inspect and replace damaged belt No numeric wear-life or maintenance interval modeled.</w:t>
            </w:r>
          </w:p>
        </w:tc>
      </w:tr>
      <w:tr>
        <w:trPr/>
        <w:tc>
          <w:tcPr>
            <w:tcW w:w="2160" w:type="dxa"/>
            <w:tcBorders>
              <w:bottom w:val="single" w:sz="2" w:space="0" w:color="CCCCCC"/>
            </w:tcBorders>
          </w:tcPr>
          <w:p>
            <w:pPr>
              <w:pStyle w:val="CompactTableText"/>
              <w:bidi w:val="0"/>
              <w:spacing w:lineRule="auto" w:line="264" w:before="0" w:after="43"/>
              <w:jc w:val="start"/>
              <w:rPr/>
            </w:pPr>
            <w:r>
              <w:rPr/>
              <w:t>T17: V5 initial condition</w:t>
            </w:r>
          </w:p>
        </w:tc>
        <w:tc>
          <w:tcPr>
            <w:tcW w:w="3600" w:type="dxa"/>
            <w:tcBorders>
              <w:bottom w:val="single" w:sz="2" w:space="0" w:color="CCCCCC"/>
            </w:tcBorders>
          </w:tcPr>
          <w:p>
            <w:pPr>
              <w:pStyle w:val="CompactTableText"/>
              <w:bidi w:val="0"/>
              <w:spacing w:lineRule="auto" w:line="264" w:before="0" w:after="43"/>
              <w:jc w:val="start"/>
              <w:rPr/>
            </w:pPr>
            <w:r>
              <w:rPr/>
              <w:t>damaged=true boolean; active benchmark</w:t>
            </w:r>
          </w:p>
        </w:tc>
        <w:tc>
          <w:tcPr>
            <w:tcW w:w="3600" w:type="dxa"/>
            <w:tcBorders>
              <w:bottom w:val="single" w:sz="2" w:space="0" w:color="CCCCCC"/>
            </w:tcBorders>
          </w:tcPr>
          <w:p>
            <w:pPr>
              <w:pStyle w:val="CompactTableText"/>
              <w:bidi w:val="0"/>
              <w:spacing w:lineRule="auto" w:line="264" w:before="0" w:after="43"/>
              <w:jc w:val="start"/>
              <w:rPr/>
            </w:pPr>
            <w:r>
              <w:rPr/>
              <w:t>benchmark policy choice</w:t>
            </w:r>
          </w:p>
        </w:tc>
        <w:tc>
          <w:tcPr>
            <w:tcW w:w="3600" w:type="dxa"/>
            <w:tcBorders>
              <w:bottom w:val="single" w:sz="2" w:space="0" w:color="CCCCCC"/>
            </w:tcBorders>
          </w:tcPr>
          <w:p>
            <w:pPr>
              <w:pStyle w:val="CompactTableText"/>
              <w:bidi w:val="0"/>
              <w:spacing w:lineRule="auto" w:line="264" w:before="0" w:after="43"/>
              <w:jc w:val="start"/>
              <w:rPr/>
            </w:pPr>
            <w:r>
              <w:rPr/>
              <w:t>Authored worn-belt task instance Boolean damage does not identify which physical inspection defect occurred.</w:t>
            </w:r>
          </w:p>
        </w:tc>
      </w:tr>
      <w:tr>
        <w:trPr/>
        <w:tc>
          <w:tcPr>
            <w:tcW w:w="2160" w:type="dxa"/>
            <w:tcBorders>
              <w:bottom w:val="single" w:sz="2" w:space="0" w:color="CCCCCC"/>
            </w:tcBorders>
          </w:tcPr>
          <w:p>
            <w:pPr>
              <w:pStyle w:val="CompactTableText"/>
              <w:bidi w:val="0"/>
              <w:spacing w:lineRule="auto" w:line="264" w:before="0" w:after="43"/>
              <w:jc w:val="start"/>
              <w:rPr/>
            </w:pPr>
            <w:r>
              <w:rPr/>
              <w:t>T18: Replacement state</w:t>
            </w:r>
          </w:p>
        </w:tc>
        <w:tc>
          <w:tcPr>
            <w:tcW w:w="3600" w:type="dxa"/>
            <w:tcBorders>
              <w:bottom w:val="single" w:sz="2" w:space="0" w:color="CCCCCC"/>
            </w:tcBorders>
          </w:tcPr>
          <w:p>
            <w:pPr>
              <w:pStyle w:val="CompactTableText"/>
              <w:bidi w:val="0"/>
              <w:spacing w:lineRule="auto" w:line="264" w:before="0" w:after="43"/>
              <w:jc w:val="start"/>
              <w:rPr/>
            </w:pPr>
            <w:r>
              <w:rPr/>
              <w:t>new distinct body;damaged=false criterion; active benchmark</w:t>
            </w:r>
          </w:p>
        </w:tc>
        <w:tc>
          <w:tcPr>
            <w:tcW w:w="3600" w:type="dxa"/>
            <w:tcBorders>
              <w:bottom w:val="single" w:sz="2" w:space="0" w:color="CCCCCC"/>
            </w:tcBorders>
          </w:tcPr>
          <w:p>
            <w:pPr>
              <w:pStyle w:val="CompactTableText"/>
              <w:bidi w:val="0"/>
              <w:spacing w:lineRule="auto" w:line="264" w:before="0" w:after="43"/>
              <w:jc w:val="start"/>
              <w:rPr/>
            </w:pPr>
            <w:r>
              <w:rPr/>
              <w:t>benchmark policy choice</w:t>
            </w:r>
          </w:p>
        </w:tc>
        <w:tc>
          <w:tcPr>
            <w:tcW w:w="3600" w:type="dxa"/>
            <w:tcBorders>
              <w:bottom w:val="single" w:sz="2" w:space="0" w:color="CCCCCC"/>
            </w:tcBorders>
          </w:tcPr>
          <w:p>
            <w:pPr>
              <w:pStyle w:val="CompactTableText"/>
              <w:bidi w:val="0"/>
              <w:spacing w:lineRule="auto" w:line="264" w:before="0" w:after="43"/>
              <w:jc w:val="start"/>
              <w:rPr/>
            </w:pPr>
            <w:r>
              <w:rPr/>
              <w:t>Preserve physical identity and corrected inspection state No extra stock timing mechanics inferred.</w:t>
            </w:r>
          </w:p>
        </w:tc>
      </w:tr>
      <w:tr>
        <w:trPr/>
        <w:tc>
          <w:tcPr>
            <w:tcW w:w="2160" w:type="dxa"/>
            <w:tcBorders>
              <w:bottom w:val="single" w:sz="2" w:space="0" w:color="CCCCCC"/>
            </w:tcBorders>
          </w:tcPr>
          <w:p>
            <w:pPr>
              <w:pStyle w:val="CompactTableText"/>
              <w:bidi w:val="0"/>
              <w:spacing w:lineRule="auto" w:line="264" w:before="0" w:after="43"/>
              <w:jc w:val="start"/>
              <w:rPr/>
            </w:pPr>
            <w:r>
              <w:rPr/>
              <w:t>T19: Tensioned state</w:t>
            </w:r>
          </w:p>
        </w:tc>
        <w:tc>
          <w:tcPr>
            <w:tcW w:w="3600" w:type="dxa"/>
            <w:tcBorders>
              <w:bottom w:val="single" w:sz="2" w:space="0" w:color="CCCCCC"/>
            </w:tcBorders>
          </w:tcPr>
          <w:p>
            <w:pPr>
              <w:pStyle w:val="CompactTableText"/>
              <w:bidi w:val="0"/>
              <w:spacing w:lineRule="auto" w:line="264" w:before="0" w:after="43"/>
              <w:jc w:val="start"/>
              <w:rPr/>
            </w:pPr>
            <w:r>
              <w:rPr/>
              <w:t>true after successful tension_belt boolean; active benchmark</w:t>
            </w:r>
          </w:p>
        </w:tc>
        <w:tc>
          <w:tcPr>
            <w:tcW w:w="3600" w:type="dxa"/>
            <w:tcBorders>
              <w:bottom w:val="single" w:sz="2" w:space="0" w:color="CCCCCC"/>
            </w:tcBorders>
          </w:tcPr>
          <w:p>
            <w:pPr>
              <w:pStyle w:val="CompactTableText"/>
              <w:bidi w:val="0"/>
              <w:spacing w:lineRule="auto" w:line="264" w:before="0" w:after="43"/>
              <w:jc w:val="start"/>
              <w:rPr/>
            </w:pPr>
            <w:r>
              <w:rPr/>
              <w:t>benchmark policy choice</w:t>
            </w:r>
          </w:p>
        </w:tc>
        <w:tc>
          <w:tcPr>
            <w:tcW w:w="3600" w:type="dxa"/>
            <w:tcBorders>
              <w:bottom w:val="single" w:sz="2" w:space="0" w:color="CCCCCC"/>
            </w:tcBorders>
          </w:tcPr>
          <w:p>
            <w:pPr>
              <w:pStyle w:val="CompactTableText"/>
              <w:bidi w:val="0"/>
              <w:spacing w:lineRule="auto" w:line="264" w:before="0" w:after="43"/>
              <w:jc w:val="start"/>
              <w:rPr/>
            </w:pPr>
            <w:r>
              <w:rPr/>
              <w:t>Explicit procedural operation state Not a measured belt force.</w:t>
            </w:r>
          </w:p>
        </w:tc>
      </w:tr>
      <w:tr>
        <w:trPr/>
        <w:tc>
          <w:tcPr>
            <w:tcW w:w="2160" w:type="dxa"/>
            <w:tcBorders>
              <w:bottom w:val="single" w:sz="2" w:space="0" w:color="CCCCCC"/>
            </w:tcBorders>
          </w:tcPr>
          <w:p>
            <w:pPr>
              <w:pStyle w:val="CompactTableText"/>
              <w:bidi w:val="0"/>
              <w:spacing w:lineRule="auto" w:line="264" w:before="0" w:after="43"/>
              <w:jc w:val="start"/>
              <w:rPr/>
            </w:pPr>
            <w:r>
              <w:rPr/>
              <w:t>W01: Cold service temperature ceiling</w:t>
            </w:r>
          </w:p>
        </w:tc>
        <w:tc>
          <w:tcPr>
            <w:tcW w:w="3600" w:type="dxa"/>
            <w:tcBorders>
              <w:bottom w:val="single" w:sz="2" w:space="0" w:color="CCCCCC"/>
            </w:tcBorders>
          </w:tcPr>
          <w:p>
            <w:pPr>
              <w:pStyle w:val="CompactTableText"/>
              <w:bidi w:val="0"/>
              <w:spacing w:lineRule="auto" w:line="264" w:before="0" w:after="43"/>
              <w:jc w:val="start"/>
              <w:rPr/>
            </w:pPr>
            <w:r>
              <w:rPr/>
              <w:t>38 degC; active benchmark</w:t>
            </w:r>
          </w:p>
        </w:tc>
        <w:tc>
          <w:tcPr>
            <w:tcW w:w="3600" w:type="dxa"/>
            <w:tcBorders>
              <w:bottom w:val="single" w:sz="2" w:space="0" w:color="CCCCCC"/>
            </w:tcBorders>
          </w:tcPr>
          <w:p>
            <w:pPr>
              <w:pStyle w:val="CompactTableText"/>
              <w:bidi w:val="0"/>
              <w:spacing w:lineRule="auto" w:line="264" w:before="0" w:after="43"/>
              <w:jc w:val="start"/>
              <w:rPr/>
            </w:pPr>
            <w:r>
              <w:rPr/>
              <w:t>public source-supported; S1; less than38; Printedp3 timing adjustment</w:t>
            </w:r>
          </w:p>
        </w:tc>
        <w:tc>
          <w:tcPr>
            <w:tcW w:w="3600" w:type="dxa"/>
            <w:tcBorders>
              <w:bottom w:val="single" w:sz="2" w:space="0" w:color="CCCCCC"/>
            </w:tcBorders>
          </w:tcPr>
          <w:p>
            <w:pPr>
              <w:pStyle w:val="CompactTableText"/>
              <w:bidi w:val="0"/>
              <w:spacing w:lineRule="auto" w:line="264" w:before="0" w:after="43"/>
              <w:jc w:val="start"/>
              <w:rPr/>
            </w:pPr>
            <w:r>
              <w:rPr/>
              <w:t>Related service precondition No thermal evolution simulated; do not generalize this to all unrelated tasks.</w:t>
            </w:r>
          </w:p>
        </w:tc>
      </w:tr>
    </w:tbl>
    <w:p>
      <w:pPr>
        <w:pStyle w:val="LandscapeFigureHeading"/>
        <w:bidi w:val="0"/>
        <w:jc w:val="start"/>
        <w:rPr/>
      </w:pPr>
      <w:r>
        <w:rPr/>
        <w:t>Appendix C. Engineering specifications — W02 to S15</w:t>
      </w:r>
    </w:p>
    <w:p>
      <w:pPr>
        <w:pStyle w:val="TableCaption"/>
        <w:keepNext w:val="true"/>
        <w:bidi w:val="0"/>
        <w:jc w:val="start"/>
        <w:rPr/>
      </w:pPr>
      <w:r>
        <w:rPr/>
        <w:t>Table 23. Appendix C. Engineering specifications — W02 to S15</w:t>
      </w:r>
    </w:p>
    <w:tbl>
      <w:tblPr>
        <w:tblW w:w="12960" w:type="dxa"/>
        <w:jc w:val="start"/>
        <w:tblInd w:w="0" w:type="dxa"/>
        <w:tblLayout w:type="fixed"/>
        <w:tblCellMar>
          <w:top w:w="58" w:type="dxa"/>
          <w:start w:w="58" w:type="dxa"/>
          <w:bottom w:w="58" w:type="dxa"/>
          <w:end w:w="58" w:type="dxa"/>
        </w:tblCellMar>
      </w:tblPr>
      <w:tblGrid>
        <w:gridCol w:w="2160"/>
        <w:gridCol w:w="3600"/>
        <w:gridCol w:w="3600"/>
        <w:gridCol w:w="3600"/>
      </w:tblGrid>
      <w:tr>
        <w:trPr/>
        <w:tc>
          <w:tcPr>
            <w:tcW w:w="2160" w:type="dxa"/>
            <w:tcBorders>
              <w:bottom w:val="single" w:sz="2" w:space="0" w:color="CCCCCC"/>
            </w:tcBorders>
          </w:tcPr>
          <w:p>
            <w:pPr>
              <w:pStyle w:val="CompactTableText"/>
              <w:bidi w:val="0"/>
              <w:spacing w:lineRule="auto" w:line="264" w:before="0" w:after="43"/>
              <w:jc w:val="start"/>
              <w:rPr/>
            </w:pPr>
            <w:r>
              <w:rPr>
                <w:rStyle w:val="Tb"/>
              </w:rPr>
              <w:t>Specification</w:t>
            </w:r>
          </w:p>
        </w:tc>
        <w:tc>
          <w:tcPr>
            <w:tcW w:w="3600" w:type="dxa"/>
            <w:tcBorders>
              <w:bottom w:val="single" w:sz="2" w:space="0" w:color="CCCCCC"/>
            </w:tcBorders>
          </w:tcPr>
          <w:p>
            <w:pPr>
              <w:pStyle w:val="CompactTableText"/>
              <w:bidi w:val="0"/>
              <w:spacing w:lineRule="auto" w:line="264" w:before="0" w:after="43"/>
              <w:jc w:val="start"/>
              <w:rPr/>
            </w:pPr>
            <w:r>
              <w:rPr>
                <w:rStyle w:val="Tb"/>
              </w:rPr>
              <w:t>Benchmark value and scope</w:t>
            </w:r>
          </w:p>
        </w:tc>
        <w:tc>
          <w:tcPr>
            <w:tcW w:w="3600" w:type="dxa"/>
            <w:tcBorders>
              <w:bottom w:val="single" w:sz="2" w:space="0" w:color="CCCCCC"/>
            </w:tcBorders>
          </w:tcPr>
          <w:p>
            <w:pPr>
              <w:pStyle w:val="CompactTableText"/>
              <w:bidi w:val="0"/>
              <w:spacing w:lineRule="auto" w:line="264" w:before="0" w:after="43"/>
              <w:jc w:val="start"/>
              <w:rPr/>
            </w:pPr>
            <w:r>
              <w:rPr>
                <w:rStyle w:val="Tb"/>
              </w:rPr>
              <w:t>Basis and public-source value</w:t>
            </w:r>
          </w:p>
        </w:tc>
        <w:tc>
          <w:tcPr>
            <w:tcW w:w="3600" w:type="dxa"/>
            <w:tcBorders>
              <w:bottom w:val="single" w:sz="2" w:space="0" w:color="CCCCCC"/>
            </w:tcBorders>
          </w:tcPr>
          <w:p>
            <w:pPr>
              <w:pStyle w:val="CompactTableText"/>
              <w:bidi w:val="0"/>
              <w:spacing w:lineRule="auto" w:line="264" w:before="0" w:after="43"/>
              <w:jc w:val="start"/>
              <w:rPr/>
            </w:pPr>
            <w:r>
              <w:rPr>
                <w:rStyle w:val="Tb"/>
              </w:rPr>
              <w:t>Selection and disagreement or limit</w:t>
            </w:r>
          </w:p>
        </w:tc>
      </w:tr>
      <w:tr>
        <w:trPr/>
        <w:tc>
          <w:tcPr>
            <w:tcW w:w="2160" w:type="dxa"/>
            <w:tcBorders>
              <w:bottom w:val="single" w:sz="2" w:space="0" w:color="CCCCCC"/>
            </w:tcBorders>
          </w:tcPr>
          <w:p>
            <w:pPr>
              <w:pStyle w:val="CompactTableText"/>
              <w:bidi w:val="0"/>
              <w:spacing w:lineRule="auto" w:line="264" w:before="0" w:after="43"/>
              <w:jc w:val="start"/>
              <w:rPr/>
            </w:pPr>
            <w:r>
              <w:rPr/>
              <w:t>W02: Isolation and support</w:t>
            </w:r>
          </w:p>
        </w:tc>
        <w:tc>
          <w:tcPr>
            <w:tcW w:w="3600" w:type="dxa"/>
            <w:tcBorders>
              <w:bottom w:val="single" w:sz="2" w:space="0" w:color="CCCCCC"/>
            </w:tcBorders>
          </w:tcPr>
          <w:p>
            <w:pPr>
              <w:pStyle w:val="CompactTableText"/>
              <w:bidi w:val="0"/>
              <w:spacing w:lineRule="auto" w:line="264" w:before="0" w:after="43"/>
              <w:jc w:val="start"/>
              <w:rPr/>
            </w:pPr>
            <w:r>
              <w:rPr/>
              <w:t>battery isolated;coolant drained;engine supported criterion; active benchmark</w:t>
            </w:r>
          </w:p>
        </w:tc>
        <w:tc>
          <w:tcPr>
            <w:tcW w:w="3600" w:type="dxa"/>
            <w:tcBorders>
              <w:bottom w:val="single" w:sz="2" w:space="0" w:color="CCCCCC"/>
            </w:tcBorders>
          </w:tcPr>
          <w:p>
            <w:pPr>
              <w:pStyle w:val="CompactTableText"/>
              <w:bidi w:val="0"/>
              <w:spacing w:lineRule="auto" w:line="264" w:before="0" w:after="43"/>
              <w:jc w:val="start"/>
              <w:rPr/>
            </w:pPr>
            <w:r>
              <w:rPr/>
              <w:t>public source-supported; M|S1; required preparation; Removal preparation</w:t>
            </w:r>
          </w:p>
        </w:tc>
        <w:tc>
          <w:tcPr>
            <w:tcW w:w="3600" w:type="dxa"/>
            <w:tcBorders>
              <w:bottom w:val="single" w:sz="2" w:space="0" w:color="CCCCCC"/>
            </w:tcBorders>
          </w:tcPr>
          <w:p>
            <w:pPr>
              <w:pStyle w:val="CompactTableText"/>
              <w:bidi w:val="0"/>
              <w:spacing w:lineRule="auto" w:line="264" w:before="0" w:after="43"/>
              <w:jc w:val="start"/>
              <w:rPr/>
            </w:pPr>
            <w:r>
              <w:rPr/>
              <w:t>Service safety/preparation conditions Runtime preparation state remains discrete.</w:t>
            </w:r>
          </w:p>
        </w:tc>
      </w:tr>
      <w:tr>
        <w:trPr/>
        <w:tc>
          <w:tcPr>
            <w:tcW w:w="2160" w:type="dxa"/>
            <w:tcBorders>
              <w:bottom w:val="single" w:sz="2" w:space="0" w:color="CCCCCC"/>
            </w:tcBorders>
          </w:tcPr>
          <w:p>
            <w:pPr>
              <w:pStyle w:val="CompactTableText"/>
              <w:bidi w:val="0"/>
              <w:spacing w:lineRule="auto" w:line="264" w:before="0" w:after="43"/>
              <w:jc w:val="start"/>
              <w:rPr/>
            </w:pPr>
            <w:r>
              <w:rPr/>
              <w:t>S12: Initial residue fraction</w:t>
            </w:r>
          </w:p>
        </w:tc>
        <w:tc>
          <w:tcPr>
            <w:tcW w:w="3600" w:type="dxa"/>
            <w:tcBorders>
              <w:bottom w:val="single" w:sz="2" w:space="0" w:color="CCCCCC"/>
            </w:tcBorders>
          </w:tcPr>
          <w:p>
            <w:pPr>
              <w:pStyle w:val="CompactTableText"/>
              <w:bidi w:val="0"/>
              <w:spacing w:lineRule="auto" w:line="264" w:before="0" w:after="43"/>
              <w:jc w:val="start"/>
              <w:rPr/>
            </w:pPr>
            <w:r>
              <w:rPr/>
              <w:t>1 fraction; active benchmark</w:t>
            </w:r>
          </w:p>
        </w:tc>
        <w:tc>
          <w:tcPr>
            <w:tcW w:w="3600" w:type="dxa"/>
            <w:tcBorders>
              <w:bottom w:val="single" w:sz="2" w:space="0" w:color="CCCCCC"/>
            </w:tcBorders>
          </w:tcPr>
          <w:p>
            <w:pPr>
              <w:pStyle w:val="CompactTableText"/>
              <w:bidi w:val="0"/>
              <w:spacing w:lineRule="auto" w:line="264" w:before="0" w:after="43"/>
              <w:jc w:val="start"/>
              <w:rPr/>
            </w:pPr>
            <w:r>
              <w:rPr/>
              <w:t>benchmark policy choice</w:t>
            </w:r>
          </w:p>
        </w:tc>
        <w:tc>
          <w:tcPr>
            <w:tcW w:w="3600" w:type="dxa"/>
            <w:tcBorders>
              <w:bottom w:val="single" w:sz="2" w:space="0" w:color="CCCCCC"/>
            </w:tcBorders>
          </w:tcPr>
          <w:p>
            <w:pPr>
              <w:pStyle w:val="CompactTableText"/>
              <w:bidi w:val="0"/>
              <w:spacing w:lineRule="auto" w:line="264" w:before="0" w:after="43"/>
              <w:jc w:val="start"/>
              <w:rPr/>
            </w:pPr>
            <w:r>
              <w:rPr/>
              <w:t>Authored soiled starting condition</w:t>
            </w:r>
          </w:p>
        </w:tc>
      </w:tr>
      <w:tr>
        <w:trPr/>
        <w:tc>
          <w:tcPr>
            <w:tcW w:w="2160" w:type="dxa"/>
            <w:tcBorders>
              <w:bottom w:val="single" w:sz="2" w:space="0" w:color="CCCCCC"/>
            </w:tcBorders>
          </w:tcPr>
          <w:p>
            <w:pPr>
              <w:pStyle w:val="CompactTableText"/>
              <w:bidi w:val="0"/>
              <w:spacing w:lineRule="auto" w:line="264" w:before="0" w:after="43"/>
              <w:jc w:val="start"/>
              <w:rPr/>
            </w:pPr>
            <w:r>
              <w:rPr/>
              <w:t>S13: Initial moisture and debris</w:t>
            </w:r>
          </w:p>
        </w:tc>
        <w:tc>
          <w:tcPr>
            <w:tcW w:w="3600" w:type="dxa"/>
            <w:tcBorders>
              <w:bottom w:val="single" w:sz="2" w:space="0" w:color="CCCCCC"/>
            </w:tcBorders>
          </w:tcPr>
          <w:p>
            <w:pPr>
              <w:pStyle w:val="CompactTableText"/>
              <w:bidi w:val="0"/>
              <w:spacing w:lineRule="auto" w:line="264" w:before="0" w:after="43"/>
              <w:jc w:val="start"/>
              <w:rPr/>
            </w:pPr>
            <w:r>
              <w:rPr/>
              <w:t>dry=false;debris_count=0;damaged=false state; active benchmark</w:t>
            </w:r>
          </w:p>
        </w:tc>
        <w:tc>
          <w:tcPr>
            <w:tcW w:w="3600" w:type="dxa"/>
            <w:tcBorders>
              <w:bottom w:val="single" w:sz="2" w:space="0" w:color="CCCCCC"/>
            </w:tcBorders>
          </w:tcPr>
          <w:p>
            <w:pPr>
              <w:pStyle w:val="CompactTableText"/>
              <w:bidi w:val="0"/>
              <w:spacing w:lineRule="auto" w:line="264" w:before="0" w:after="43"/>
              <w:jc w:val="start"/>
              <w:rPr/>
            </w:pPr>
            <w:r>
              <w:rPr/>
              <w:t>benchmark policy choice</w:t>
            </w:r>
          </w:p>
        </w:tc>
        <w:tc>
          <w:tcPr>
            <w:tcW w:w="3600" w:type="dxa"/>
            <w:tcBorders>
              <w:bottom w:val="single" w:sz="2" w:space="0" w:color="CCCCCC"/>
            </w:tcBorders>
          </w:tcPr>
          <w:p>
            <w:pPr>
              <w:pStyle w:val="CompactTableText"/>
              <w:bidi w:val="0"/>
              <w:spacing w:lineRule="auto" w:line="264" w:before="0" w:after="43"/>
              <w:jc w:val="start"/>
              <w:rPr/>
            </w:pPr>
            <w:r>
              <w:rPr/>
              <w:t>Authored starting inspection state</w:t>
            </w:r>
          </w:p>
        </w:tc>
      </w:tr>
      <w:tr>
        <w:trPr/>
        <w:tc>
          <w:tcPr>
            <w:tcW w:w="2160" w:type="dxa"/>
            <w:tcBorders>
              <w:bottom w:val="single" w:sz="2" w:space="0" w:color="CCCCCC"/>
            </w:tcBorders>
          </w:tcPr>
          <w:p>
            <w:pPr>
              <w:pStyle w:val="CompactTableText"/>
              <w:bidi w:val="0"/>
              <w:spacing w:lineRule="auto" w:line="264" w:before="0" w:after="43"/>
              <w:jc w:val="start"/>
              <w:rPr/>
            </w:pPr>
            <w:r>
              <w:rPr/>
              <w:t>S14: Conditional head material-removal maximum</w:t>
            </w:r>
          </w:p>
        </w:tc>
        <w:tc>
          <w:tcPr>
            <w:tcW w:w="3600" w:type="dxa"/>
            <w:tcBorders>
              <w:bottom w:val="single" w:sz="2" w:space="0" w:color="CCCCCC"/>
            </w:tcBorders>
          </w:tcPr>
          <w:p>
            <w:pPr>
              <w:pStyle w:val="CompactTableText"/>
              <w:bidi w:val="0"/>
              <w:spacing w:lineRule="auto" w:line="264" w:before="0" w:after="43"/>
              <w:jc w:val="start"/>
              <w:rPr/>
            </w:pPr>
            <w:r>
              <w:rPr/>
              <w:t>0.2 mm; service corpus; not an implemented limit</w:t>
            </w:r>
          </w:p>
        </w:tc>
        <w:tc>
          <w:tcPr>
            <w:tcW w:w="3600" w:type="dxa"/>
            <w:tcBorders>
              <w:bottom w:val="single" w:sz="2" w:space="0" w:color="CCCCCC"/>
            </w:tcBorders>
          </w:tcPr>
          <w:p>
            <w:pPr>
              <w:pStyle w:val="CompactTableText"/>
              <w:bidi w:val="0"/>
              <w:spacing w:lineRule="auto" w:line="264" w:before="0" w:after="43"/>
              <w:jc w:val="start"/>
              <w:rPr/>
            </w:pPr>
            <w:r>
              <w:rPr/>
              <w:t>public source-supported; M; 0.20 mm; subject to head height and cam-holder checks; Printed 6-45</w:t>
            </w:r>
          </w:p>
        </w:tc>
        <w:tc>
          <w:tcPr>
            <w:tcW w:w="3600" w:type="dxa"/>
            <w:tcBorders>
              <w:bottom w:val="single" w:sz="2" w:space="0" w:color="CCCCCC"/>
            </w:tcBorders>
          </w:tcPr>
          <w:p>
            <w:pPr>
              <w:pStyle w:val="CompactTableText"/>
              <w:bidi w:val="0"/>
              <w:spacing w:lineRule="auto" w:line="264" w:before="0" w:after="43"/>
              <w:jc w:val="start"/>
              <w:rPr/>
            </w:pPr>
            <w:r>
              <w:rPr/>
              <w:t>Retain service-information context; not automatic permission to machine Benchmark machining eligibility does not perform those geometric checks.</w:t>
            </w:r>
          </w:p>
        </w:tc>
      </w:tr>
      <w:tr>
        <w:trPr/>
        <w:tc>
          <w:tcPr>
            <w:tcW w:w="2160" w:type="dxa"/>
            <w:tcBorders>
              <w:bottom w:val="single" w:sz="2" w:space="0" w:color="CCCCCC"/>
            </w:tcBorders>
          </w:tcPr>
          <w:p>
            <w:pPr>
              <w:pStyle w:val="CompactTableText"/>
              <w:bidi w:val="0"/>
              <w:spacing w:lineRule="auto" w:line="264" w:before="0" w:after="43"/>
              <w:jc w:val="start"/>
              <w:rPr/>
            </w:pPr>
            <w:r>
              <w:rPr/>
              <w:t>S15: Block standard warpage maximum</w:t>
            </w:r>
          </w:p>
        </w:tc>
        <w:tc>
          <w:tcPr>
            <w:tcW w:w="3600" w:type="dxa"/>
            <w:tcBorders>
              <w:bottom w:val="single" w:sz="2" w:space="0" w:color="CCCCCC"/>
            </w:tcBorders>
          </w:tcPr>
          <w:p>
            <w:pPr>
              <w:pStyle w:val="CompactTableText"/>
              <w:bidi w:val="0"/>
              <w:spacing w:lineRule="auto" w:line="264" w:before="0" w:after="43"/>
              <w:jc w:val="start"/>
              <w:rPr/>
            </w:pPr>
            <w:r>
              <w:rPr/>
              <w:t>0.07 mm; service corpus; benchmark uses0.05 mm</w:t>
            </w:r>
          </w:p>
        </w:tc>
        <w:tc>
          <w:tcPr>
            <w:tcW w:w="3600" w:type="dxa"/>
            <w:tcBorders>
              <w:bottom w:val="single" w:sz="2" w:space="0" w:color="CCCCCC"/>
            </w:tcBorders>
          </w:tcPr>
          <w:p>
            <w:pPr>
              <w:pStyle w:val="CompactTableText"/>
              <w:bidi w:val="0"/>
              <w:spacing w:lineRule="auto" w:line="264" w:before="0" w:after="43"/>
              <w:jc w:val="start"/>
              <w:rPr/>
            </w:pPr>
            <w:r>
              <w:rPr/>
              <w:t>public source-supported; M; 0.07 mm; Printed 7-12</w:t>
            </w:r>
          </w:p>
        </w:tc>
        <w:tc>
          <w:tcPr>
            <w:tcW w:w="3600" w:type="dxa"/>
            <w:tcBorders>
              <w:bottom w:val="single" w:sz="2" w:space="0" w:color="CCCCCC"/>
            </w:tcBorders>
          </w:tcPr>
          <w:p>
            <w:pPr>
              <w:pStyle w:val="CompactTableText"/>
              <w:bidi w:val="0"/>
              <w:spacing w:lineRule="auto" w:line="264" w:before="0" w:after="43"/>
              <w:jc w:val="start"/>
              <w:rPr/>
            </w:pPr>
            <w:r>
              <w:rPr/>
              <w:t>Correct public attribution for E06 S1 printed page46 gives0.079 mm; do not silently substitute its converted value.</w:t>
            </w:r>
          </w:p>
        </w:tc>
      </w:tr>
    </w:tbl>
    <w:p>
      <w:pPr>
        <w:pStyle w:val="LandscapeFigureHeading"/>
        <w:bidi w:val="0"/>
        <w:jc w:val="start"/>
        <w:rPr/>
      </w:pPr>
      <w:r>
        <w:rPr/>
        <w:t>Appendix C. Engineering specifications — S16 to G14</w:t>
      </w:r>
    </w:p>
    <w:p>
      <w:pPr>
        <w:pStyle w:val="TableCaption"/>
        <w:keepNext w:val="true"/>
        <w:bidi w:val="0"/>
        <w:jc w:val="start"/>
        <w:rPr/>
      </w:pPr>
      <w:r>
        <w:rPr/>
        <w:t>Table 24. Appendix C. Engineering specifications — S16 to G14</w:t>
      </w:r>
    </w:p>
    <w:tbl>
      <w:tblPr>
        <w:tblW w:w="12960" w:type="dxa"/>
        <w:jc w:val="start"/>
        <w:tblInd w:w="0" w:type="dxa"/>
        <w:tblLayout w:type="fixed"/>
        <w:tblCellMar>
          <w:top w:w="58" w:type="dxa"/>
          <w:start w:w="58" w:type="dxa"/>
          <w:bottom w:w="58" w:type="dxa"/>
          <w:end w:w="58" w:type="dxa"/>
        </w:tblCellMar>
      </w:tblPr>
      <w:tblGrid>
        <w:gridCol w:w="2160"/>
        <w:gridCol w:w="3600"/>
        <w:gridCol w:w="3600"/>
        <w:gridCol w:w="3600"/>
      </w:tblGrid>
      <w:tr>
        <w:trPr/>
        <w:tc>
          <w:tcPr>
            <w:tcW w:w="2160" w:type="dxa"/>
            <w:tcBorders>
              <w:bottom w:val="single" w:sz="2" w:space="0" w:color="CCCCCC"/>
            </w:tcBorders>
          </w:tcPr>
          <w:p>
            <w:pPr>
              <w:pStyle w:val="CompactTableText"/>
              <w:bidi w:val="0"/>
              <w:spacing w:lineRule="auto" w:line="264" w:before="0" w:after="43"/>
              <w:jc w:val="start"/>
              <w:rPr/>
            </w:pPr>
            <w:r>
              <w:rPr>
                <w:rStyle w:val="Tb"/>
              </w:rPr>
              <w:t>Specification</w:t>
            </w:r>
          </w:p>
        </w:tc>
        <w:tc>
          <w:tcPr>
            <w:tcW w:w="3600" w:type="dxa"/>
            <w:tcBorders>
              <w:bottom w:val="single" w:sz="2" w:space="0" w:color="CCCCCC"/>
            </w:tcBorders>
          </w:tcPr>
          <w:p>
            <w:pPr>
              <w:pStyle w:val="CompactTableText"/>
              <w:bidi w:val="0"/>
              <w:spacing w:lineRule="auto" w:line="264" w:before="0" w:after="43"/>
              <w:jc w:val="start"/>
              <w:rPr/>
            </w:pPr>
            <w:r>
              <w:rPr>
                <w:rStyle w:val="Tb"/>
              </w:rPr>
              <w:t>Benchmark value and scope</w:t>
            </w:r>
          </w:p>
        </w:tc>
        <w:tc>
          <w:tcPr>
            <w:tcW w:w="3600" w:type="dxa"/>
            <w:tcBorders>
              <w:bottom w:val="single" w:sz="2" w:space="0" w:color="CCCCCC"/>
            </w:tcBorders>
          </w:tcPr>
          <w:p>
            <w:pPr>
              <w:pStyle w:val="CompactTableText"/>
              <w:bidi w:val="0"/>
              <w:spacing w:lineRule="auto" w:line="264" w:before="0" w:after="43"/>
              <w:jc w:val="start"/>
              <w:rPr/>
            </w:pPr>
            <w:r>
              <w:rPr>
                <w:rStyle w:val="Tb"/>
              </w:rPr>
              <w:t>Basis and public-source value</w:t>
            </w:r>
          </w:p>
        </w:tc>
        <w:tc>
          <w:tcPr>
            <w:tcW w:w="3600" w:type="dxa"/>
            <w:tcBorders>
              <w:bottom w:val="single" w:sz="2" w:space="0" w:color="CCCCCC"/>
            </w:tcBorders>
          </w:tcPr>
          <w:p>
            <w:pPr>
              <w:pStyle w:val="CompactTableText"/>
              <w:bidi w:val="0"/>
              <w:spacing w:lineRule="auto" w:line="264" w:before="0" w:after="43"/>
              <w:jc w:val="start"/>
              <w:rPr/>
            </w:pPr>
            <w:r>
              <w:rPr>
                <w:rStyle w:val="Tb"/>
              </w:rPr>
              <w:t>Selection and disagreement or limit</w:t>
            </w:r>
          </w:p>
        </w:tc>
      </w:tr>
      <w:tr>
        <w:trPr/>
        <w:tc>
          <w:tcPr>
            <w:tcW w:w="2160" w:type="dxa"/>
            <w:tcBorders>
              <w:bottom w:val="single" w:sz="2" w:space="0" w:color="CCCCCC"/>
            </w:tcBorders>
          </w:tcPr>
          <w:p>
            <w:pPr>
              <w:pStyle w:val="CompactTableText"/>
              <w:bidi w:val="0"/>
              <w:spacing w:lineRule="auto" w:line="264" w:before="0" w:after="43"/>
              <w:jc w:val="start"/>
              <w:rPr/>
            </w:pPr>
            <w:r>
              <w:rPr/>
              <w:t>S16: Block service warpage limit</w:t>
            </w:r>
          </w:p>
        </w:tc>
        <w:tc>
          <w:tcPr>
            <w:tcW w:w="3600" w:type="dxa"/>
            <w:tcBorders>
              <w:bottom w:val="single" w:sz="2" w:space="0" w:color="CCCCCC"/>
            </w:tcBorders>
          </w:tcPr>
          <w:p>
            <w:pPr>
              <w:pStyle w:val="CompactTableText"/>
              <w:bidi w:val="0"/>
              <w:spacing w:lineRule="auto" w:line="264" w:before="0" w:after="43"/>
              <w:jc w:val="start"/>
              <w:rPr/>
            </w:pPr>
            <w:r>
              <w:rPr/>
              <w:t>0.1 mm; service corpus; benchmark uses0.05 mm</w:t>
            </w:r>
          </w:p>
        </w:tc>
        <w:tc>
          <w:tcPr>
            <w:tcW w:w="3600" w:type="dxa"/>
            <w:tcBorders>
              <w:bottom w:val="single" w:sz="2" w:space="0" w:color="CCCCCC"/>
            </w:tcBorders>
          </w:tcPr>
          <w:p>
            <w:pPr>
              <w:pStyle w:val="CompactTableText"/>
              <w:bidi w:val="0"/>
              <w:spacing w:lineRule="auto" w:line="264" w:before="0" w:after="43"/>
              <w:jc w:val="start"/>
              <w:rPr/>
            </w:pPr>
            <w:r>
              <w:rPr/>
              <w:t>public source-supported; M|S1; 0.10 mm; M 7-12; S1p46</w:t>
            </w:r>
          </w:p>
        </w:tc>
        <w:tc>
          <w:tcPr>
            <w:tcW w:w="3600" w:type="dxa"/>
            <w:tcBorders>
              <w:bottom w:val="single" w:sz="2" w:space="0" w:color="CCCCCC"/>
            </w:tcBorders>
          </w:tcPr>
          <w:p>
            <w:pPr>
              <w:pStyle w:val="CompactTableText"/>
              <w:bidi w:val="0"/>
              <w:spacing w:lineRule="auto" w:line="264" w:before="0" w:after="43"/>
              <w:jc w:val="start"/>
              <w:rPr/>
            </w:pPr>
            <w:r>
              <w:rPr/>
              <w:t>Retain related service value Not the active benchmark0.05 mm limit.</w:t>
            </w:r>
          </w:p>
        </w:tc>
      </w:tr>
      <w:tr>
        <w:trPr/>
        <w:tc>
          <w:tcPr>
            <w:tcW w:w="2160" w:type="dxa"/>
            <w:tcBorders>
              <w:bottom w:val="single" w:sz="2" w:space="0" w:color="CCCCCC"/>
            </w:tcBorders>
          </w:tcPr>
          <w:p>
            <w:pPr>
              <w:pStyle w:val="CompactTableText"/>
              <w:bidi w:val="0"/>
              <w:spacing w:lineRule="auto" w:line="264" w:before="0" w:after="43"/>
              <w:jc w:val="start"/>
              <w:rPr/>
            </w:pPr>
            <w:r>
              <w:rPr/>
              <w:t>S17: MLS finish recommendation</w:t>
            </w:r>
          </w:p>
        </w:tc>
        <w:tc>
          <w:tcPr>
            <w:tcW w:w="3600" w:type="dxa"/>
            <w:tcBorders>
              <w:bottom w:val="single" w:sz="2" w:space="0" w:color="CCCCCC"/>
            </w:tcBorders>
          </w:tcPr>
          <w:p>
            <w:pPr>
              <w:pStyle w:val="CompactTableText"/>
              <w:bidi w:val="0"/>
              <w:spacing w:lineRule="auto" w:line="264" w:before="0" w:after="43"/>
              <w:jc w:val="start"/>
              <w:rPr/>
            </w:pPr>
            <w:r>
              <w:rPr/>
              <w:t>50 or finer RA; page unit unspecified; service corpus; not an implemented limit</w:t>
            </w:r>
          </w:p>
        </w:tc>
        <w:tc>
          <w:tcPr>
            <w:tcW w:w="3600" w:type="dxa"/>
            <w:tcBorders>
              <w:bottom w:val="single" w:sz="2" w:space="0" w:color="CCCCCC"/>
            </w:tcBorders>
          </w:tcPr>
          <w:p>
            <w:pPr>
              <w:pStyle w:val="CompactTableText"/>
              <w:bidi w:val="0"/>
              <w:spacing w:lineRule="auto" w:line="264" w:before="0" w:after="43"/>
              <w:jc w:val="start"/>
              <w:rPr/>
            </w:pPr>
            <w:r>
              <w:rPr/>
              <w:t>public source-supported; S3; 50 RA or finer; Surface Finishing</w:t>
            </w:r>
          </w:p>
        </w:tc>
        <w:tc>
          <w:tcPr>
            <w:tcW w:w="3600" w:type="dxa"/>
            <w:tcBorders>
              <w:bottom w:val="single" w:sz="2" w:space="0" w:color="CCCCCC"/>
            </w:tcBorders>
          </w:tcPr>
          <w:p>
            <w:pPr>
              <w:pStyle w:val="CompactTableText"/>
              <w:bidi w:val="0"/>
              <w:spacing w:lineRule="auto" w:line="264" w:before="0" w:after="43"/>
              <w:jc w:val="start"/>
              <w:rPr/>
            </w:pPr>
            <w:r>
              <w:rPr/>
              <w:t>Retain source wording without guessing the dimensional unit The benchmark0.5 um value is a separate authored state.</w:t>
            </w:r>
          </w:p>
        </w:tc>
      </w:tr>
      <w:tr>
        <w:trPr/>
        <w:tc>
          <w:tcPr>
            <w:tcW w:w="2160" w:type="dxa"/>
            <w:tcBorders>
              <w:bottom w:val="single" w:sz="2" w:space="0" w:color="CCCCCC"/>
            </w:tcBorders>
          </w:tcPr>
          <w:p>
            <w:pPr>
              <w:pStyle w:val="CompactTableText"/>
              <w:bidi w:val="0"/>
              <w:spacing w:lineRule="auto" w:line="264" w:before="0" w:after="43"/>
              <w:jc w:val="start"/>
              <w:rPr/>
            </w:pPr>
            <w:r>
              <w:rPr/>
              <w:t>G12: Catalog bore</w:t>
            </w:r>
          </w:p>
        </w:tc>
        <w:tc>
          <w:tcPr>
            <w:tcW w:w="3600" w:type="dxa"/>
            <w:tcBorders>
              <w:bottom w:val="single" w:sz="2" w:space="0" w:color="CCCCCC"/>
            </w:tcBorders>
          </w:tcPr>
          <w:p>
            <w:pPr>
              <w:pStyle w:val="CompactTableText"/>
              <w:bidi w:val="0"/>
              <w:spacing w:lineRule="auto" w:line="264" w:before="0" w:after="43"/>
              <w:jc w:val="start"/>
              <w:rPr/>
            </w:pPr>
            <w:r>
              <w:rPr/>
              <w:t>75.5 mm; service corpus; not selected stock</w:t>
            </w:r>
          </w:p>
        </w:tc>
        <w:tc>
          <w:tcPr>
            <w:tcW w:w="3600" w:type="dxa"/>
            <w:tcBorders>
              <w:bottom w:val="single" w:sz="2" w:space="0" w:color="CCCCCC"/>
            </w:tcBorders>
          </w:tcPr>
          <w:p>
            <w:pPr>
              <w:pStyle w:val="CompactTableText"/>
              <w:bidi w:val="0"/>
              <w:spacing w:lineRule="auto" w:line="264" w:before="0" w:after="43"/>
              <w:jc w:val="start"/>
              <w:rPr/>
            </w:pPr>
            <w:r>
              <w:rPr/>
              <w:t>public source-supported; S6; 75.5 mm; C4251-030 product fields</w:t>
            </w:r>
          </w:p>
        </w:tc>
        <w:tc>
          <w:tcPr>
            <w:tcW w:w="3600" w:type="dxa"/>
            <w:tcBorders>
              <w:bottom w:val="single" w:sz="2" w:space="0" w:color="CCCCCC"/>
            </w:tcBorders>
          </w:tcPr>
          <w:p>
            <w:pPr>
              <w:pStyle w:val="CompactTableText"/>
              <w:bidi w:val="0"/>
              <w:spacing w:lineRule="auto" w:line="264" w:before="0" w:after="43"/>
              <w:jc w:val="start"/>
              <w:rPr/>
            </w:pPr>
            <w:r>
              <w:rPr/>
              <w:t>Retain historical catalog separately from selected stock B01 selected75 mm overrides this related listing for task decisions.</w:t>
            </w:r>
          </w:p>
        </w:tc>
      </w:tr>
      <w:tr>
        <w:trPr/>
        <w:tc>
          <w:tcPr>
            <w:tcW w:w="2160" w:type="dxa"/>
            <w:tcBorders>
              <w:bottom w:val="single" w:sz="2" w:space="0" w:color="CCCCCC"/>
            </w:tcBorders>
          </w:tcPr>
          <w:p>
            <w:pPr>
              <w:pStyle w:val="CompactTableText"/>
              <w:bidi w:val="0"/>
              <w:spacing w:lineRule="auto" w:line="264" w:before="0" w:after="43"/>
              <w:jc w:val="start"/>
              <w:rPr/>
            </w:pPr>
            <w:r>
              <w:rPr/>
              <w:t>G13: Catalog layer count</w:t>
            </w:r>
          </w:p>
        </w:tc>
        <w:tc>
          <w:tcPr>
            <w:tcW w:w="3600" w:type="dxa"/>
            <w:tcBorders>
              <w:bottom w:val="single" w:sz="2" w:space="0" w:color="CCCCCC"/>
            </w:tcBorders>
          </w:tcPr>
          <w:p>
            <w:pPr>
              <w:pStyle w:val="CompactTableText"/>
              <w:bidi w:val="0"/>
              <w:spacing w:lineRule="auto" w:line="264" w:before="0" w:after="43"/>
              <w:jc w:val="start"/>
              <w:rPr/>
            </w:pPr>
            <w:r>
              <w:rPr/>
              <w:t>3 layers; service corpus; related product</w:t>
            </w:r>
          </w:p>
        </w:tc>
        <w:tc>
          <w:tcPr>
            <w:tcW w:w="3600" w:type="dxa"/>
            <w:tcBorders>
              <w:bottom w:val="single" w:sz="2" w:space="0" w:color="CCCCCC"/>
            </w:tcBorders>
          </w:tcPr>
          <w:p>
            <w:pPr>
              <w:pStyle w:val="CompactTableText"/>
              <w:bidi w:val="0"/>
              <w:spacing w:lineRule="auto" w:line="264" w:before="0" w:after="43"/>
              <w:jc w:val="start"/>
              <w:rPr/>
            </w:pPr>
            <w:r>
              <w:rPr/>
              <w:t>public source-supported; S6; 3; C4251-030 product fields</w:t>
            </w:r>
          </w:p>
        </w:tc>
        <w:tc>
          <w:tcPr>
            <w:tcW w:w="3600" w:type="dxa"/>
            <w:tcBorders>
              <w:bottom w:val="single" w:sz="2" w:space="0" w:color="CCCCCC"/>
            </w:tcBorders>
          </w:tcPr>
          <w:p>
            <w:pPr>
              <w:pStyle w:val="CompactTableText"/>
              <w:bidi w:val="0"/>
              <w:spacing w:lineRule="auto" w:line="264" w:before="0" w:after="43"/>
              <w:jc w:val="start"/>
              <w:rPr/>
            </w:pPr>
            <w:r>
              <w:rPr/>
              <w:t>Product description, not proof of selected stock material response</w:t>
            </w:r>
          </w:p>
        </w:tc>
      </w:tr>
      <w:tr>
        <w:trPr/>
        <w:tc>
          <w:tcPr>
            <w:tcW w:w="2160" w:type="dxa"/>
            <w:tcBorders>
              <w:bottom w:val="single" w:sz="2" w:space="0" w:color="CCCCCC"/>
            </w:tcBorders>
          </w:tcPr>
          <w:p>
            <w:pPr>
              <w:pStyle w:val="CompactTableText"/>
              <w:bidi w:val="0"/>
              <w:spacing w:lineRule="auto" w:line="264" w:before="0" w:after="43"/>
              <w:jc w:val="start"/>
              <w:rPr/>
            </w:pPr>
            <w:r>
              <w:rPr/>
              <w:t>G14: Catalog orientation field</w:t>
            </w:r>
          </w:p>
        </w:tc>
        <w:tc>
          <w:tcPr>
            <w:tcW w:w="3600" w:type="dxa"/>
            <w:tcBorders>
              <w:bottom w:val="single" w:sz="2" w:space="0" w:color="CCCCCC"/>
            </w:tcBorders>
          </w:tcPr>
          <w:p>
            <w:pPr>
              <w:pStyle w:val="CompactTableText"/>
              <w:bidi w:val="0"/>
              <w:spacing w:lineRule="auto" w:line="264" w:before="0" w:after="43"/>
              <w:jc w:val="start"/>
              <w:rPr/>
            </w:pPr>
            <w:r>
              <w:rPr/>
              <w:t>None catalog text; service corpus; related product</w:t>
            </w:r>
          </w:p>
        </w:tc>
        <w:tc>
          <w:tcPr>
            <w:tcW w:w="3600" w:type="dxa"/>
            <w:tcBorders>
              <w:bottom w:val="single" w:sz="2" w:space="0" w:color="CCCCCC"/>
            </w:tcBorders>
          </w:tcPr>
          <w:p>
            <w:pPr>
              <w:pStyle w:val="CompactTableText"/>
              <w:bidi w:val="0"/>
              <w:spacing w:lineRule="auto" w:line="264" w:before="0" w:after="43"/>
              <w:jc w:val="start"/>
              <w:rPr/>
            </w:pPr>
            <w:r>
              <w:rPr/>
              <w:t>public source-supported; S6; None; C4251-030 product fields</w:t>
            </w:r>
          </w:p>
        </w:tc>
        <w:tc>
          <w:tcPr>
            <w:tcW w:w="3600" w:type="dxa"/>
            <w:tcBorders>
              <w:bottom w:val="single" w:sz="2" w:space="0" w:color="CCCCCC"/>
            </w:tcBorders>
          </w:tcPr>
          <w:p>
            <w:pPr>
              <w:pStyle w:val="CompactTableText"/>
              <w:bidi w:val="0"/>
              <w:spacing w:lineRule="auto" w:line="264" w:before="0" w:after="43"/>
              <w:jc w:val="start"/>
              <w:rPr/>
            </w:pPr>
            <w:r>
              <w:rPr/>
              <w:t>Preserve literal product metadata without inferring reversibility Does not override benchmark up orientation.</w:t>
            </w:r>
          </w:p>
        </w:tc>
      </w:tr>
    </w:tbl>
    <w:p>
      <w:pPr>
        <w:pStyle w:val="LandscapeFigureHeading"/>
        <w:bidi w:val="0"/>
        <w:jc w:val="start"/>
        <w:rPr/>
      </w:pPr>
      <w:r>
        <w:rPr/>
        <w:t>Appendix C. Engineering specifications — S18 to J04</w:t>
      </w:r>
    </w:p>
    <w:p>
      <w:pPr>
        <w:pStyle w:val="TableCaption"/>
        <w:keepNext w:val="true"/>
        <w:bidi w:val="0"/>
        <w:jc w:val="start"/>
        <w:rPr/>
      </w:pPr>
      <w:r>
        <w:rPr/>
        <w:t>Table 25. Appendix C. Engineering specifications — S18 to J04</w:t>
      </w:r>
    </w:p>
    <w:tbl>
      <w:tblPr>
        <w:tblW w:w="12960" w:type="dxa"/>
        <w:jc w:val="start"/>
        <w:tblInd w:w="0" w:type="dxa"/>
        <w:tblLayout w:type="fixed"/>
        <w:tblCellMar>
          <w:top w:w="58" w:type="dxa"/>
          <w:start w:w="58" w:type="dxa"/>
          <w:bottom w:w="58" w:type="dxa"/>
          <w:end w:w="58" w:type="dxa"/>
        </w:tblCellMar>
      </w:tblPr>
      <w:tblGrid>
        <w:gridCol w:w="2160"/>
        <w:gridCol w:w="3600"/>
        <w:gridCol w:w="3600"/>
        <w:gridCol w:w="3600"/>
      </w:tblGrid>
      <w:tr>
        <w:trPr/>
        <w:tc>
          <w:tcPr>
            <w:tcW w:w="2160" w:type="dxa"/>
            <w:tcBorders>
              <w:bottom w:val="single" w:sz="2" w:space="0" w:color="CCCCCC"/>
            </w:tcBorders>
          </w:tcPr>
          <w:p>
            <w:pPr>
              <w:pStyle w:val="CompactTableText"/>
              <w:bidi w:val="0"/>
              <w:spacing w:lineRule="auto" w:line="264" w:before="0" w:after="43"/>
              <w:jc w:val="start"/>
              <w:rPr/>
            </w:pPr>
            <w:r>
              <w:rPr>
                <w:rStyle w:val="Tb"/>
              </w:rPr>
              <w:t>Specification</w:t>
            </w:r>
          </w:p>
        </w:tc>
        <w:tc>
          <w:tcPr>
            <w:tcW w:w="3600" w:type="dxa"/>
            <w:tcBorders>
              <w:bottom w:val="single" w:sz="2" w:space="0" w:color="CCCCCC"/>
            </w:tcBorders>
          </w:tcPr>
          <w:p>
            <w:pPr>
              <w:pStyle w:val="CompactTableText"/>
              <w:bidi w:val="0"/>
              <w:spacing w:lineRule="auto" w:line="264" w:before="0" w:after="43"/>
              <w:jc w:val="start"/>
              <w:rPr/>
            </w:pPr>
            <w:r>
              <w:rPr>
                <w:rStyle w:val="Tb"/>
              </w:rPr>
              <w:t>Benchmark value and scope</w:t>
            </w:r>
          </w:p>
        </w:tc>
        <w:tc>
          <w:tcPr>
            <w:tcW w:w="3600" w:type="dxa"/>
            <w:tcBorders>
              <w:bottom w:val="single" w:sz="2" w:space="0" w:color="CCCCCC"/>
            </w:tcBorders>
          </w:tcPr>
          <w:p>
            <w:pPr>
              <w:pStyle w:val="CompactTableText"/>
              <w:bidi w:val="0"/>
              <w:spacing w:lineRule="auto" w:line="264" w:before="0" w:after="43"/>
              <w:jc w:val="start"/>
              <w:rPr/>
            </w:pPr>
            <w:r>
              <w:rPr>
                <w:rStyle w:val="Tb"/>
              </w:rPr>
              <w:t>Basis and public-source value</w:t>
            </w:r>
          </w:p>
        </w:tc>
        <w:tc>
          <w:tcPr>
            <w:tcW w:w="3600" w:type="dxa"/>
            <w:tcBorders>
              <w:bottom w:val="single" w:sz="2" w:space="0" w:color="CCCCCC"/>
            </w:tcBorders>
          </w:tcPr>
          <w:p>
            <w:pPr>
              <w:pStyle w:val="CompactTableText"/>
              <w:bidi w:val="0"/>
              <w:spacing w:lineRule="auto" w:line="264" w:before="0" w:after="43"/>
              <w:jc w:val="start"/>
              <w:rPr/>
            </w:pPr>
            <w:r>
              <w:rPr>
                <w:rStyle w:val="Tb"/>
              </w:rPr>
              <w:t>Selection and disagreement or limit</w:t>
            </w:r>
          </w:p>
        </w:tc>
      </w:tr>
      <w:tr>
        <w:trPr/>
        <w:tc>
          <w:tcPr>
            <w:tcW w:w="2160" w:type="dxa"/>
            <w:tcBorders>
              <w:bottom w:val="single" w:sz="2" w:space="0" w:color="CCCCCC"/>
            </w:tcBorders>
          </w:tcPr>
          <w:p>
            <w:pPr>
              <w:pStyle w:val="CompactTableText"/>
              <w:bidi w:val="0"/>
              <w:spacing w:lineRule="auto" w:line="264" w:before="0" w:after="43"/>
              <w:jc w:val="start"/>
              <w:rPr/>
            </w:pPr>
            <w:r>
              <w:rPr/>
              <w:t>S18: Flatness sampling protocol</w:t>
            </w:r>
          </w:p>
        </w:tc>
        <w:tc>
          <w:tcPr>
            <w:tcW w:w="3600" w:type="dxa"/>
            <w:tcBorders>
              <w:bottom w:val="single" w:sz="2" w:space="0" w:color="CCCCCC"/>
            </w:tcBorders>
          </w:tcPr>
          <w:p>
            <w:pPr>
              <w:pStyle w:val="CompactTableText"/>
              <w:bidi w:val="0"/>
              <w:spacing w:lineRule="auto" w:line="264" w:before="0" w:after="43"/>
              <w:jc w:val="start"/>
              <w:rPr/>
            </w:pPr>
            <w:r>
              <w:rPr/>
              <w:t>head:edges and three center directions;block:edges and across center procedure; service corpus; abstract measurement</w:t>
            </w:r>
          </w:p>
        </w:tc>
        <w:tc>
          <w:tcPr>
            <w:tcW w:w="3600" w:type="dxa"/>
            <w:tcBorders>
              <w:bottom w:val="single" w:sz="2" w:space="0" w:color="CCCCCC"/>
            </w:tcBorders>
          </w:tcPr>
          <w:p>
            <w:pPr>
              <w:pStyle w:val="CompactTableText"/>
              <w:bidi w:val="0"/>
              <w:spacing w:lineRule="auto" w:line="264" w:before="0" w:after="43"/>
              <w:jc w:val="start"/>
              <w:rPr/>
            </w:pPr>
            <w:r>
              <w:rPr/>
              <w:t>public source-supported; M|S1; head:three center directions;block:edges and across center; M 6-45 head; M 7-12 block</w:t>
            </w:r>
          </w:p>
        </w:tc>
        <w:tc>
          <w:tcPr>
            <w:tcW w:w="3600" w:type="dxa"/>
            <w:tcBorders>
              <w:bottom w:val="single" w:sz="2" w:space="0" w:color="CCCCCC"/>
            </w:tcBorders>
          </w:tcPr>
          <w:p>
            <w:pPr>
              <w:pStyle w:val="CompactTableText"/>
              <w:bidi w:val="0"/>
              <w:spacing w:lineRule="auto" w:line="264" w:before="0" w:after="43"/>
              <w:jc w:val="start"/>
              <w:rPr/>
            </w:pPr>
            <w:r>
              <w:rPr/>
              <w:t>Public service protocol; runtime returns a scalar stand-in A scalar warpage value is not an executed straightedge sampling pattern.</w:t>
            </w:r>
          </w:p>
        </w:tc>
      </w:tr>
      <w:tr>
        <w:trPr/>
        <w:tc>
          <w:tcPr>
            <w:tcW w:w="2160" w:type="dxa"/>
            <w:tcBorders>
              <w:bottom w:val="single" w:sz="2" w:space="0" w:color="CCCCCC"/>
            </w:tcBorders>
          </w:tcPr>
          <w:p>
            <w:pPr>
              <w:pStyle w:val="CompactTableText"/>
              <w:bidi w:val="0"/>
              <w:spacing w:lineRule="auto" w:line="264" w:before="0" w:after="43"/>
              <w:jc w:val="start"/>
              <w:rPr/>
            </w:pPr>
            <w:r>
              <w:rPr/>
              <w:t>J01: Gasket recovery fraction</w:t>
            </w:r>
          </w:p>
        </w:tc>
        <w:tc>
          <w:tcPr>
            <w:tcW w:w="3600" w:type="dxa"/>
            <w:tcBorders>
              <w:bottom w:val="single" w:sz="2" w:space="0" w:color="CCCCCC"/>
            </w:tcBorders>
          </w:tcPr>
          <w:p>
            <w:pPr>
              <w:pStyle w:val="CompactTableText"/>
              <w:bidi w:val="0"/>
              <w:spacing w:lineRule="auto" w:line="264" w:before="0" w:after="43"/>
              <w:jc w:val="start"/>
              <w:rPr/>
            </w:pPr>
            <w:r>
              <w:rPr/>
              <w:t>0.1 fraction; supplemental estimate</w:t>
            </w:r>
          </w:p>
        </w:tc>
        <w:tc>
          <w:tcPr>
            <w:tcW w:w="3600" w:type="dxa"/>
            <w:tcBorders>
              <w:bottom w:val="single" w:sz="2" w:space="0" w:color="CCCCCC"/>
            </w:tcBorders>
          </w:tcPr>
          <w:p>
            <w:pPr>
              <w:pStyle w:val="CompactTableText"/>
              <w:bidi w:val="0"/>
              <w:spacing w:lineRule="auto" w:line="264" w:before="0" w:after="43"/>
              <w:jc w:val="start"/>
              <w:rPr/>
            </w:pPr>
            <w:r>
              <w:rPr/>
              <w:t>benchmark policy choice</w:t>
            </w:r>
          </w:p>
        </w:tc>
        <w:tc>
          <w:tcPr>
            <w:tcW w:w="3600" w:type="dxa"/>
            <w:tcBorders>
              <w:bottom w:val="single" w:sz="2" w:space="0" w:color="CCCCCC"/>
            </w:tcBorders>
          </w:tcPr>
          <w:p>
            <w:pPr>
              <w:pStyle w:val="CompactTableText"/>
              <w:bidi w:val="0"/>
              <w:spacing w:lineRule="auto" w:line="264" w:before="0" w:after="43"/>
              <w:jc w:val="start"/>
              <w:rPr/>
            </w:pPr>
            <w:r>
              <w:rPr/>
              <w:t>Explicit inherited recovery estimate; not selected material calibration No checkpoint or technician-time authority.</w:t>
            </w:r>
          </w:p>
        </w:tc>
      </w:tr>
      <w:tr>
        <w:trPr/>
        <w:tc>
          <w:tcPr>
            <w:tcW w:w="2160" w:type="dxa"/>
            <w:tcBorders>
              <w:bottom w:val="single" w:sz="2" w:space="0" w:color="CCCCCC"/>
            </w:tcBorders>
          </w:tcPr>
          <w:p>
            <w:pPr>
              <w:pStyle w:val="CompactTableText"/>
              <w:bidi w:val="0"/>
              <w:spacing w:lineRule="auto" w:line="264" w:before="0" w:after="43"/>
              <w:jc w:val="start"/>
              <w:rPr/>
            </w:pPr>
            <w:r>
              <w:rPr/>
              <w:t>J02: New-gasket model history</w:t>
            </w:r>
          </w:p>
        </w:tc>
        <w:tc>
          <w:tcPr>
            <w:tcW w:w="3600" w:type="dxa"/>
            <w:tcBorders>
              <w:bottom w:val="single" w:sz="2" w:space="0" w:color="CCCCCC"/>
            </w:tcBorders>
          </w:tcPr>
          <w:p>
            <w:pPr>
              <w:pStyle w:val="CompactTableText"/>
              <w:bidi w:val="0"/>
              <w:spacing w:lineRule="auto" w:line="264" w:before="0" w:after="43"/>
              <w:jc w:val="start"/>
              <w:rPr/>
            </w:pPr>
            <w:r>
              <w:rPr/>
              <w:t>fresh zero-force initialization; no carried arrays state; supplemental estimate</w:t>
            </w:r>
          </w:p>
        </w:tc>
        <w:tc>
          <w:tcPr>
            <w:tcW w:w="3600" w:type="dxa"/>
            <w:tcBorders>
              <w:bottom w:val="single" w:sz="2" w:space="0" w:color="CCCCCC"/>
            </w:tcBorders>
          </w:tcPr>
          <w:p>
            <w:pPr>
              <w:pStyle w:val="CompactTableText"/>
              <w:bidi w:val="0"/>
              <w:spacing w:lineRule="auto" w:line="264" w:before="0" w:after="43"/>
              <w:jc w:val="start"/>
              <w:rPr/>
            </w:pPr>
            <w:r>
              <w:rPr/>
              <w:t>benchmark policy choice</w:t>
            </w:r>
          </w:p>
        </w:tc>
        <w:tc>
          <w:tcPr>
            <w:tcW w:w="3600" w:type="dxa"/>
            <w:tcBorders>
              <w:bottom w:val="single" w:sz="2" w:space="0" w:color="CCCCCC"/>
            </w:tcBorders>
          </w:tcPr>
          <w:p>
            <w:pPr>
              <w:pStyle w:val="CompactTableText"/>
              <w:bidi w:val="0"/>
              <w:spacing w:lineRule="auto" w:line="264" w:before="0" w:after="43"/>
              <w:jc w:val="start"/>
              <w:rPr/>
            </w:pPr>
            <w:r>
              <w:rPr/>
              <w:t>Explicit installation-epoch initialization Old gasket history is not relabeled as new gasket history.</w:t>
            </w:r>
          </w:p>
        </w:tc>
      </w:tr>
      <w:tr>
        <w:trPr/>
        <w:tc>
          <w:tcPr>
            <w:tcW w:w="2160" w:type="dxa"/>
            <w:tcBorders>
              <w:bottom w:val="single" w:sz="2" w:space="0" w:color="CCCCCC"/>
            </w:tcBorders>
          </w:tcPr>
          <w:p>
            <w:pPr>
              <w:pStyle w:val="CompactTableText"/>
              <w:bidi w:val="0"/>
              <w:spacing w:lineRule="auto" w:line="264" w:before="0" w:after="43"/>
              <w:jc w:val="start"/>
              <w:rPr/>
            </w:pPr>
            <w:r>
              <w:rPr/>
              <w:t>J03: Bolt-extension interpretation</w:t>
            </w:r>
          </w:p>
        </w:tc>
        <w:tc>
          <w:tcPr>
            <w:tcW w:w="3600" w:type="dxa"/>
            <w:tcBorders>
              <w:bottom w:val="single" w:sz="2" w:space="0" w:color="CCCCCC"/>
            </w:tcBorders>
          </w:tcPr>
          <w:p>
            <w:pPr>
              <w:pStyle w:val="CompactTableText"/>
              <w:bidi w:val="0"/>
              <w:spacing w:lineRule="auto" w:line="264" w:before="0" w:after="43"/>
              <w:jc w:val="start"/>
              <w:rPr/>
            </w:pPr>
            <w:r>
              <w:rPr/>
              <w:t>supplied stretch_mm treated as permanent set model assumption; supplemental estimate</w:t>
            </w:r>
          </w:p>
        </w:tc>
        <w:tc>
          <w:tcPr>
            <w:tcW w:w="3600" w:type="dxa"/>
            <w:tcBorders>
              <w:bottom w:val="single" w:sz="2" w:space="0" w:color="CCCCCC"/>
            </w:tcBorders>
          </w:tcPr>
          <w:p>
            <w:pPr>
              <w:pStyle w:val="CompactTableText"/>
              <w:bidi w:val="0"/>
              <w:spacing w:lineRule="auto" w:line="264" w:before="0" w:after="43"/>
              <w:jc w:val="start"/>
              <w:rPr/>
            </w:pPr>
            <w:r>
              <w:rPr/>
              <w:t>benchmark policy choice</w:t>
            </w:r>
          </w:p>
        </w:tc>
        <w:tc>
          <w:tcPr>
            <w:tcW w:w="3600" w:type="dxa"/>
            <w:tcBorders>
              <w:bottom w:val="single" w:sz="2" w:space="0" w:color="CCCCCC"/>
            </w:tcBorders>
          </w:tcPr>
          <w:p>
            <w:pPr>
              <w:pStyle w:val="CompactTableText"/>
              <w:bidi w:val="0"/>
              <w:spacing w:lineRule="auto" w:line="264" w:before="0" w:after="43"/>
              <w:jc w:val="start"/>
              <w:rPr/>
            </w:pPr>
            <w:r>
              <w:rPr/>
              <w:t>Explicit software transfer from environment truth Not inferred from torque labels or nominal free length.</w:t>
            </w:r>
          </w:p>
        </w:tc>
      </w:tr>
      <w:tr>
        <w:trPr/>
        <w:tc>
          <w:tcPr>
            <w:tcW w:w="2160" w:type="dxa"/>
            <w:tcBorders>
              <w:bottom w:val="single" w:sz="2" w:space="0" w:color="CCCCCC"/>
            </w:tcBorders>
          </w:tcPr>
          <w:p>
            <w:pPr>
              <w:pStyle w:val="CompactTableText"/>
              <w:bidi w:val="0"/>
              <w:spacing w:lineRule="auto" w:line="264" w:before="0" w:after="43"/>
              <w:jc w:val="start"/>
              <w:rPr/>
            </w:pPr>
            <w:r>
              <w:rPr/>
              <w:t>J04: Gasket thickness transfer</w:t>
            </w:r>
          </w:p>
        </w:tc>
        <w:tc>
          <w:tcPr>
            <w:tcW w:w="3600" w:type="dxa"/>
            <w:tcBorders>
              <w:bottom w:val="single" w:sz="2" w:space="0" w:color="CCCCCC"/>
            </w:tcBorders>
          </w:tcPr>
          <w:p>
            <w:pPr>
              <w:pStyle w:val="CompactTableText"/>
              <w:bidi w:val="0"/>
              <w:spacing w:lineRule="auto" w:line="264" w:before="0" w:after="43"/>
              <w:jc w:val="start"/>
              <w:rPr/>
            </w:pPr>
            <w:r>
              <w:rPr/>
              <w:t>effective uniform-layer strain scaling model assumption; supplemental estimate</w:t>
            </w:r>
          </w:p>
        </w:tc>
        <w:tc>
          <w:tcPr>
            <w:tcW w:w="3600" w:type="dxa"/>
            <w:tcBorders>
              <w:bottom w:val="single" w:sz="2" w:space="0" w:color="CCCCCC"/>
            </w:tcBorders>
          </w:tcPr>
          <w:p>
            <w:pPr>
              <w:pStyle w:val="CompactTableText"/>
              <w:bidi w:val="0"/>
              <w:spacing w:lineRule="auto" w:line="264" w:before="0" w:after="43"/>
              <w:jc w:val="start"/>
              <w:rPr/>
            </w:pPr>
            <w:r>
              <w:rPr/>
              <w:t>benchmark policy choice</w:t>
            </w:r>
          </w:p>
        </w:tc>
        <w:tc>
          <w:tcPr>
            <w:tcW w:w="3600" w:type="dxa"/>
            <w:tcBorders>
              <w:bottom w:val="single" w:sz="2" w:space="0" w:color="CCCCCC"/>
            </w:tcBorders>
          </w:tcPr>
          <w:p>
            <w:pPr>
              <w:pStyle w:val="CompactTableText"/>
              <w:bidi w:val="0"/>
              <w:spacing w:lineRule="auto" w:line="264" w:before="0" w:after="43"/>
              <w:jc w:val="start"/>
              <w:rPr/>
            </w:pPr>
            <w:r>
              <w:rPr/>
              <w:t>Transfer inherited contact law using supplied thickness and unchanged support frame No selected multilayer material curve; passage layout unknown.</w:t>
            </w:r>
          </w:p>
        </w:tc>
      </w:tr>
    </w:tbl>
    <w:p>
      <w:pPr>
        <w:pStyle w:val="LandscapeFigureHeading"/>
        <w:bidi w:val="0"/>
        <w:jc w:val="start"/>
        <w:rPr/>
      </w:pPr>
      <w:r>
        <w:rPr/>
        <w:t>Appendix C. Engineering specifications — J05 to D01</w:t>
      </w:r>
    </w:p>
    <w:p>
      <w:pPr>
        <w:pStyle w:val="TableCaption"/>
        <w:keepNext w:val="true"/>
        <w:bidi w:val="0"/>
        <w:jc w:val="start"/>
        <w:rPr/>
      </w:pPr>
      <w:r>
        <w:rPr/>
        <w:t>Table 26. Appendix C. Engineering specifications — J05 to D01</w:t>
      </w:r>
    </w:p>
    <w:tbl>
      <w:tblPr>
        <w:tblW w:w="12960" w:type="dxa"/>
        <w:jc w:val="start"/>
        <w:tblInd w:w="0" w:type="dxa"/>
        <w:tblLayout w:type="fixed"/>
        <w:tblCellMar>
          <w:top w:w="58" w:type="dxa"/>
          <w:start w:w="58" w:type="dxa"/>
          <w:bottom w:w="58" w:type="dxa"/>
          <w:end w:w="58" w:type="dxa"/>
        </w:tblCellMar>
      </w:tblPr>
      <w:tblGrid>
        <w:gridCol w:w="2160"/>
        <w:gridCol w:w="3600"/>
        <w:gridCol w:w="3600"/>
        <w:gridCol w:w="3600"/>
      </w:tblGrid>
      <w:tr>
        <w:trPr/>
        <w:tc>
          <w:tcPr>
            <w:tcW w:w="2160" w:type="dxa"/>
            <w:tcBorders>
              <w:bottom w:val="single" w:sz="2" w:space="0" w:color="CCCCCC"/>
            </w:tcBorders>
          </w:tcPr>
          <w:p>
            <w:pPr>
              <w:pStyle w:val="CompactTableText"/>
              <w:bidi w:val="0"/>
              <w:spacing w:lineRule="auto" w:line="264" w:before="0" w:after="43"/>
              <w:jc w:val="start"/>
              <w:rPr/>
            </w:pPr>
            <w:r>
              <w:rPr>
                <w:rStyle w:val="Tb"/>
              </w:rPr>
              <w:t>Specification</w:t>
            </w:r>
          </w:p>
        </w:tc>
        <w:tc>
          <w:tcPr>
            <w:tcW w:w="3600" w:type="dxa"/>
            <w:tcBorders>
              <w:bottom w:val="single" w:sz="2" w:space="0" w:color="CCCCCC"/>
            </w:tcBorders>
          </w:tcPr>
          <w:p>
            <w:pPr>
              <w:pStyle w:val="CompactTableText"/>
              <w:bidi w:val="0"/>
              <w:spacing w:lineRule="auto" w:line="264" w:before="0" w:after="43"/>
              <w:jc w:val="start"/>
              <w:rPr/>
            </w:pPr>
            <w:r>
              <w:rPr>
                <w:rStyle w:val="Tb"/>
              </w:rPr>
              <w:t>Benchmark value and scope</w:t>
            </w:r>
          </w:p>
        </w:tc>
        <w:tc>
          <w:tcPr>
            <w:tcW w:w="3600" w:type="dxa"/>
            <w:tcBorders>
              <w:bottom w:val="single" w:sz="2" w:space="0" w:color="CCCCCC"/>
            </w:tcBorders>
          </w:tcPr>
          <w:p>
            <w:pPr>
              <w:pStyle w:val="CompactTableText"/>
              <w:bidi w:val="0"/>
              <w:spacing w:lineRule="auto" w:line="264" w:before="0" w:after="43"/>
              <w:jc w:val="start"/>
              <w:rPr/>
            </w:pPr>
            <w:r>
              <w:rPr>
                <w:rStyle w:val="Tb"/>
              </w:rPr>
              <w:t>Basis and public-source value</w:t>
            </w:r>
          </w:p>
        </w:tc>
        <w:tc>
          <w:tcPr>
            <w:tcW w:w="3600" w:type="dxa"/>
            <w:tcBorders>
              <w:bottom w:val="single" w:sz="2" w:space="0" w:color="CCCCCC"/>
            </w:tcBorders>
          </w:tcPr>
          <w:p>
            <w:pPr>
              <w:pStyle w:val="CompactTableText"/>
              <w:bidi w:val="0"/>
              <w:spacing w:lineRule="auto" w:line="264" w:before="0" w:after="43"/>
              <w:jc w:val="start"/>
              <w:rPr/>
            </w:pPr>
            <w:r>
              <w:rPr>
                <w:rStyle w:val="Tb"/>
              </w:rPr>
              <w:t>Selection and disagreement or limit</w:t>
            </w:r>
          </w:p>
        </w:tc>
      </w:tr>
      <w:tr>
        <w:trPr/>
        <w:tc>
          <w:tcPr>
            <w:tcW w:w="2160" w:type="dxa"/>
            <w:tcBorders>
              <w:bottom w:val="single" w:sz="2" w:space="0" w:color="CCCCCC"/>
            </w:tcBorders>
          </w:tcPr>
          <w:p>
            <w:pPr>
              <w:pStyle w:val="CompactTableText"/>
              <w:bidi w:val="0"/>
              <w:spacing w:lineRule="auto" w:line="264" w:before="0" w:after="43"/>
              <w:jc w:val="start"/>
              <w:rPr/>
            </w:pPr>
            <w:r>
              <w:rPr/>
              <w:t>J05: Model reference thickness</w:t>
            </w:r>
          </w:p>
        </w:tc>
        <w:tc>
          <w:tcPr>
            <w:tcW w:w="3600" w:type="dxa"/>
            <w:tcBorders>
              <w:bottom w:val="single" w:sz="2" w:space="0" w:color="CCCCCC"/>
            </w:tcBorders>
          </w:tcPr>
          <w:p>
            <w:pPr>
              <w:pStyle w:val="CompactTableText"/>
              <w:bidi w:val="0"/>
              <w:spacing w:lineRule="auto" w:line="264" w:before="0" w:after="43"/>
              <w:jc w:val="start"/>
              <w:rPr/>
            </w:pPr>
            <w:r>
              <w:rPr/>
              <w:t>0.762 mm; supplemental estimate</w:t>
            </w:r>
          </w:p>
        </w:tc>
        <w:tc>
          <w:tcPr>
            <w:tcW w:w="3600" w:type="dxa"/>
            <w:tcBorders>
              <w:bottom w:val="single" w:sz="2" w:space="0" w:color="CCCCCC"/>
            </w:tcBorders>
          </w:tcPr>
          <w:p>
            <w:pPr>
              <w:pStyle w:val="CompactTableText"/>
              <w:bidi w:val="0"/>
              <w:spacing w:lineRule="auto" w:line="264" w:before="0" w:after="43"/>
              <w:jc w:val="start"/>
              <w:rPr/>
            </w:pPr>
            <w:r>
              <w:rPr/>
              <w:t>benchmark policy choice</w:t>
            </w:r>
          </w:p>
        </w:tc>
        <w:tc>
          <w:tcPr>
            <w:tcW w:w="3600" w:type="dxa"/>
            <w:tcBorders>
              <w:bottom w:val="single" w:sz="2" w:space="0" w:color="CCCCCC"/>
            </w:tcBorders>
          </w:tcPr>
          <w:p>
            <w:pPr>
              <w:pStyle w:val="CompactTableText"/>
              <w:bidi w:val="0"/>
              <w:spacing w:lineRule="auto" w:line="264" w:before="0" w:after="43"/>
              <w:jc w:val="start"/>
              <w:rPr/>
            </w:pPr>
            <w:r>
              <w:rPr/>
              <w:t>Reference for the declared effective-strain transfer Nominal compressed catalog dimension, not measured installed height.</w:t>
            </w:r>
          </w:p>
        </w:tc>
      </w:tr>
      <w:tr>
        <w:trPr/>
        <w:tc>
          <w:tcPr>
            <w:tcW w:w="2160" w:type="dxa"/>
            <w:tcBorders>
              <w:bottom w:val="single" w:sz="2" w:space="0" w:color="CCCCCC"/>
            </w:tcBorders>
          </w:tcPr>
          <w:p>
            <w:pPr>
              <w:pStyle w:val="CompactTableText"/>
              <w:bidi w:val="0"/>
              <w:spacing w:lineRule="auto" w:line="264" w:before="0" w:after="43"/>
              <w:jc w:val="start"/>
              <w:rPr/>
            </w:pPr>
            <w:r>
              <w:rPr/>
              <w:t>J06: Torque nut factor</w:t>
            </w:r>
          </w:p>
        </w:tc>
        <w:tc>
          <w:tcPr>
            <w:tcW w:w="3600" w:type="dxa"/>
            <w:tcBorders>
              <w:bottom w:val="single" w:sz="2" w:space="0" w:color="CCCCCC"/>
            </w:tcBorders>
          </w:tcPr>
          <w:p>
            <w:pPr>
              <w:pStyle w:val="CompactTableText"/>
              <w:bidi w:val="0"/>
              <w:spacing w:lineRule="auto" w:line="264" w:before="0" w:after="43"/>
              <w:jc w:val="start"/>
              <w:rPr/>
            </w:pPr>
            <w:r>
              <w:rPr/>
              <w:t>0.2 dimensionless; supplemental estimate</w:t>
            </w:r>
          </w:p>
        </w:tc>
        <w:tc>
          <w:tcPr>
            <w:tcW w:w="3600" w:type="dxa"/>
            <w:tcBorders>
              <w:bottom w:val="single" w:sz="2" w:space="0" w:color="CCCCCC"/>
            </w:tcBorders>
          </w:tcPr>
          <w:p>
            <w:pPr>
              <w:pStyle w:val="CompactTableText"/>
              <w:bidi w:val="0"/>
              <w:spacing w:lineRule="auto" w:line="264" w:before="0" w:after="43"/>
              <w:jc w:val="start"/>
              <w:rPr/>
            </w:pPr>
            <w:r>
              <w:rPr/>
              <w:t>benchmark policy choice</w:t>
            </w:r>
          </w:p>
        </w:tc>
        <w:tc>
          <w:tcPr>
            <w:tcW w:w="3600" w:type="dxa"/>
            <w:tcBorders>
              <w:bottom w:val="single" w:sz="2" w:space="0" w:color="CCCCCC"/>
            </w:tcBorders>
          </w:tcPr>
          <w:p>
            <w:pPr>
              <w:pStyle w:val="CompactTableText"/>
              <w:bidi w:val="0"/>
              <w:spacing w:lineRule="auto" w:line="264" w:before="0" w:after="43"/>
              <w:jc w:val="start"/>
              <w:rPr/>
            </w:pPr>
            <w:r>
              <w:rPr/>
              <w:t>Inherited authored torque-to-force coefficient Not measured selected thread/bearing friction.</w:t>
            </w:r>
          </w:p>
        </w:tc>
      </w:tr>
      <w:tr>
        <w:trPr/>
        <w:tc>
          <w:tcPr>
            <w:tcW w:w="2160" w:type="dxa"/>
            <w:tcBorders>
              <w:bottom w:val="single" w:sz="2" w:space="0" w:color="CCCCCC"/>
            </w:tcBorders>
          </w:tcPr>
          <w:p>
            <w:pPr>
              <w:pStyle w:val="CompactTableText"/>
              <w:bidi w:val="0"/>
              <w:spacing w:lineRule="auto" w:line="264" w:before="0" w:after="43"/>
              <w:jc w:val="start"/>
              <w:rPr/>
            </w:pPr>
            <w:r>
              <w:rPr/>
              <w:t>J07: Torque-law nominal diameter</w:t>
            </w:r>
          </w:p>
        </w:tc>
        <w:tc>
          <w:tcPr>
            <w:tcW w:w="3600" w:type="dxa"/>
            <w:tcBorders>
              <w:bottom w:val="single" w:sz="2" w:space="0" w:color="CCCCCC"/>
            </w:tcBorders>
          </w:tcPr>
          <w:p>
            <w:pPr>
              <w:pStyle w:val="CompactTableText"/>
              <w:bidi w:val="0"/>
              <w:spacing w:lineRule="auto" w:line="264" w:before="0" w:after="43"/>
              <w:jc w:val="start"/>
              <w:rPr/>
            </w:pPr>
            <w:r>
              <w:rPr/>
              <w:t>10 mm; supplemental estimate</w:t>
            </w:r>
          </w:p>
        </w:tc>
        <w:tc>
          <w:tcPr>
            <w:tcW w:w="3600" w:type="dxa"/>
            <w:tcBorders>
              <w:bottom w:val="single" w:sz="2" w:space="0" w:color="CCCCCC"/>
            </w:tcBorders>
          </w:tcPr>
          <w:p>
            <w:pPr>
              <w:pStyle w:val="CompactTableText"/>
              <w:bidi w:val="0"/>
              <w:spacing w:lineRule="auto" w:line="264" w:before="0" w:after="43"/>
              <w:jc w:val="start"/>
              <w:rPr/>
            </w:pPr>
            <w:r>
              <w:rPr/>
              <w:t>benchmark policy choice</w:t>
            </w:r>
          </w:p>
        </w:tc>
        <w:tc>
          <w:tcPr>
            <w:tcW w:w="3600" w:type="dxa"/>
            <w:tcBorders>
              <w:bottom w:val="single" w:sz="2" w:space="0" w:color="CCCCCC"/>
            </w:tcBorders>
          </w:tcPr>
          <w:p>
            <w:pPr>
              <w:pStyle w:val="CompactTableText"/>
              <w:bidi w:val="0"/>
              <w:spacing w:lineRule="auto" w:line="264" w:before="0" w:after="43"/>
              <w:jc w:val="start"/>
              <w:rPr/>
            </w:pPr>
            <w:r>
              <w:rPr/>
              <w:t>Inherited torque relation T=K d F Coupled sequential equilibrium; not ten independent final-target conversions.</w:t>
            </w:r>
          </w:p>
        </w:tc>
      </w:tr>
      <w:tr>
        <w:trPr/>
        <w:tc>
          <w:tcPr>
            <w:tcW w:w="2160" w:type="dxa"/>
            <w:tcBorders>
              <w:bottom w:val="single" w:sz="2" w:space="0" w:color="CCCCCC"/>
            </w:tcBorders>
          </w:tcPr>
          <w:p>
            <w:pPr>
              <w:pStyle w:val="CompactTableText"/>
              <w:bidi w:val="0"/>
              <w:spacing w:lineRule="auto" w:line="264" w:before="0" w:after="43"/>
              <w:jc w:val="start"/>
              <w:rPr/>
            </w:pPr>
            <w:r>
              <w:rPr/>
              <w:t>J08: Equilibrium residual tolerance</w:t>
            </w:r>
          </w:p>
        </w:tc>
        <w:tc>
          <w:tcPr>
            <w:tcW w:w="3600" w:type="dxa"/>
            <w:tcBorders>
              <w:bottom w:val="single" w:sz="2" w:space="0" w:color="CCCCCC"/>
            </w:tcBorders>
          </w:tcPr>
          <w:p>
            <w:pPr>
              <w:pStyle w:val="CompactTableText"/>
              <w:bidi w:val="0"/>
              <w:spacing w:lineRule="auto" w:line="264" w:before="0" w:after="43"/>
              <w:jc w:val="start"/>
              <w:rPr/>
            </w:pPr>
            <w:r>
              <w:rPr/>
              <w:t>1e-06 N or N m; numerical implementation</w:t>
            </w:r>
          </w:p>
        </w:tc>
        <w:tc>
          <w:tcPr>
            <w:tcW w:w="3600" w:type="dxa"/>
            <w:tcBorders>
              <w:bottom w:val="single" w:sz="2" w:space="0" w:color="CCCCCC"/>
            </w:tcBorders>
          </w:tcPr>
          <w:p>
            <w:pPr>
              <w:pStyle w:val="CompactTableText"/>
              <w:bidi w:val="0"/>
              <w:spacing w:lineRule="auto" w:line="264" w:before="0" w:after="43"/>
              <w:jc w:val="start"/>
              <w:rPr/>
            </w:pPr>
            <w:r>
              <w:rPr/>
              <w:t>benchmark policy choice</w:t>
            </w:r>
          </w:p>
        </w:tc>
        <w:tc>
          <w:tcPr>
            <w:tcW w:w="3600" w:type="dxa"/>
            <w:tcBorders>
              <w:bottom w:val="single" w:sz="2" w:space="0" w:color="CCCCCC"/>
            </w:tcBorders>
          </w:tcPr>
          <w:p>
            <w:pPr>
              <w:pStyle w:val="CompactTableText"/>
              <w:bidi w:val="0"/>
              <w:spacing w:lineRule="auto" w:line="264" w:before="0" w:after="43"/>
              <w:jc w:val="start"/>
              <w:rPr/>
            </w:pPr>
            <w:r>
              <w:rPr/>
              <w:t>Numerical convergence criterion Not physical measurement accuracy.</w:t>
            </w:r>
          </w:p>
        </w:tc>
      </w:tr>
      <w:tr>
        <w:trPr/>
        <w:tc>
          <w:tcPr>
            <w:tcW w:w="2160" w:type="dxa"/>
            <w:tcBorders>
              <w:bottom w:val="single" w:sz="2" w:space="0" w:color="CCCCCC"/>
            </w:tcBorders>
          </w:tcPr>
          <w:p>
            <w:pPr>
              <w:pStyle w:val="CompactTableText"/>
              <w:bidi w:val="0"/>
              <w:spacing w:lineRule="auto" w:line="264" w:before="0" w:after="43"/>
              <w:jc w:val="start"/>
              <w:rPr/>
            </w:pPr>
            <w:r>
              <w:rPr/>
              <w:t>D01: Disengaged-fastener threshold</w:t>
            </w:r>
          </w:p>
        </w:tc>
        <w:tc>
          <w:tcPr>
            <w:tcW w:w="3600" w:type="dxa"/>
            <w:tcBorders>
              <w:bottom w:val="single" w:sz="2" w:space="0" w:color="CCCCCC"/>
            </w:tcBorders>
          </w:tcPr>
          <w:p>
            <w:pPr>
              <w:pStyle w:val="CompactTableText"/>
              <w:bidi w:val="0"/>
              <w:spacing w:lineRule="auto" w:line="264" w:before="0" w:after="43"/>
              <w:jc w:val="start"/>
              <w:rPr/>
            </w:pPr>
            <w:r>
              <w:rPr/>
              <w:t>1e-09 turns; numerical implementation</w:t>
            </w:r>
          </w:p>
        </w:tc>
        <w:tc>
          <w:tcPr>
            <w:tcW w:w="3600" w:type="dxa"/>
            <w:tcBorders>
              <w:bottom w:val="single" w:sz="2" w:space="0" w:color="CCCCCC"/>
            </w:tcBorders>
          </w:tcPr>
          <w:p>
            <w:pPr>
              <w:pStyle w:val="CompactTableText"/>
              <w:bidi w:val="0"/>
              <w:spacing w:lineRule="auto" w:line="264" w:before="0" w:after="43"/>
              <w:jc w:val="start"/>
              <w:rPr/>
            </w:pPr>
            <w:r>
              <w:rPr/>
              <w:t>benchmark policy choice</w:t>
            </w:r>
          </w:p>
        </w:tc>
        <w:tc>
          <w:tcPr>
            <w:tcW w:w="3600" w:type="dxa"/>
            <w:tcBorders>
              <w:bottom w:val="single" w:sz="2" w:space="0" w:color="CCCCCC"/>
            </w:tcBorders>
          </w:tcPr>
          <w:p>
            <w:pPr>
              <w:pStyle w:val="CompactTableText"/>
              <w:bidi w:val="0"/>
              <w:spacing w:lineRule="auto" w:line="264" w:before="0" w:after="43"/>
              <w:jc w:val="start"/>
              <w:rPr/>
            </w:pPr>
            <w:r>
              <w:rPr/>
              <w:t>Floating-point disengagement comparison Not a measured thread-engagement uncertainty.</w:t>
            </w:r>
          </w:p>
        </w:tc>
      </w:tr>
    </w:tbl>
    <w:p>
      <w:pPr>
        <w:pStyle w:val="LandscapeFigureHeading"/>
        <w:bidi w:val="0"/>
        <w:jc w:val="start"/>
        <w:rPr/>
      </w:pPr>
      <w:r>
        <w:rPr/>
        <w:t>Appendix C. Engineering specifications — D02 to G16</w:t>
      </w:r>
    </w:p>
    <w:p>
      <w:pPr>
        <w:pStyle w:val="TableCaption"/>
        <w:keepNext w:val="true"/>
        <w:bidi w:val="0"/>
        <w:jc w:val="start"/>
        <w:rPr/>
      </w:pPr>
      <w:r>
        <w:rPr/>
        <w:t>Table 27. Appendix C. Engineering specifications — D02 to G16</w:t>
      </w:r>
    </w:p>
    <w:tbl>
      <w:tblPr>
        <w:tblW w:w="12960" w:type="dxa"/>
        <w:jc w:val="start"/>
        <w:tblInd w:w="0" w:type="dxa"/>
        <w:tblLayout w:type="fixed"/>
        <w:tblCellMar>
          <w:top w:w="58" w:type="dxa"/>
          <w:start w:w="58" w:type="dxa"/>
          <w:bottom w:w="58" w:type="dxa"/>
          <w:end w:w="58" w:type="dxa"/>
        </w:tblCellMar>
      </w:tblPr>
      <w:tblGrid>
        <w:gridCol w:w="2160"/>
        <w:gridCol w:w="3600"/>
        <w:gridCol w:w="3600"/>
        <w:gridCol w:w="3600"/>
      </w:tblGrid>
      <w:tr>
        <w:trPr/>
        <w:tc>
          <w:tcPr>
            <w:tcW w:w="2160" w:type="dxa"/>
            <w:tcBorders>
              <w:bottom w:val="single" w:sz="2" w:space="0" w:color="CCCCCC"/>
            </w:tcBorders>
          </w:tcPr>
          <w:p>
            <w:pPr>
              <w:pStyle w:val="CompactTableText"/>
              <w:bidi w:val="0"/>
              <w:spacing w:lineRule="auto" w:line="264" w:before="0" w:after="43"/>
              <w:jc w:val="start"/>
              <w:rPr/>
            </w:pPr>
            <w:r>
              <w:rPr>
                <w:rStyle w:val="Tb"/>
              </w:rPr>
              <w:t>Specification</w:t>
            </w:r>
          </w:p>
        </w:tc>
        <w:tc>
          <w:tcPr>
            <w:tcW w:w="3600" w:type="dxa"/>
            <w:tcBorders>
              <w:bottom w:val="single" w:sz="2" w:space="0" w:color="CCCCCC"/>
            </w:tcBorders>
          </w:tcPr>
          <w:p>
            <w:pPr>
              <w:pStyle w:val="CompactTableText"/>
              <w:bidi w:val="0"/>
              <w:spacing w:lineRule="auto" w:line="264" w:before="0" w:after="43"/>
              <w:jc w:val="start"/>
              <w:rPr/>
            </w:pPr>
            <w:r>
              <w:rPr>
                <w:rStyle w:val="Tb"/>
              </w:rPr>
              <w:t>Benchmark value and scope</w:t>
            </w:r>
          </w:p>
        </w:tc>
        <w:tc>
          <w:tcPr>
            <w:tcW w:w="3600" w:type="dxa"/>
            <w:tcBorders>
              <w:bottom w:val="single" w:sz="2" w:space="0" w:color="CCCCCC"/>
            </w:tcBorders>
          </w:tcPr>
          <w:p>
            <w:pPr>
              <w:pStyle w:val="CompactTableText"/>
              <w:bidi w:val="0"/>
              <w:spacing w:lineRule="auto" w:line="264" w:before="0" w:after="43"/>
              <w:jc w:val="start"/>
              <w:rPr/>
            </w:pPr>
            <w:r>
              <w:rPr>
                <w:rStyle w:val="Tb"/>
              </w:rPr>
              <w:t>Basis and public-source value</w:t>
            </w:r>
          </w:p>
        </w:tc>
        <w:tc>
          <w:tcPr>
            <w:tcW w:w="3600" w:type="dxa"/>
            <w:tcBorders>
              <w:bottom w:val="single" w:sz="2" w:space="0" w:color="CCCCCC"/>
            </w:tcBorders>
          </w:tcPr>
          <w:p>
            <w:pPr>
              <w:pStyle w:val="CompactTableText"/>
              <w:bidi w:val="0"/>
              <w:spacing w:lineRule="auto" w:line="264" w:before="0" w:after="43"/>
              <w:jc w:val="start"/>
              <w:rPr/>
            </w:pPr>
            <w:r>
              <w:rPr>
                <w:rStyle w:val="Tb"/>
              </w:rPr>
              <w:t>Selection and disagreement or limit</w:t>
            </w:r>
          </w:p>
        </w:tc>
      </w:tr>
      <w:tr>
        <w:trPr/>
        <w:tc>
          <w:tcPr>
            <w:tcW w:w="2160" w:type="dxa"/>
            <w:tcBorders>
              <w:bottom w:val="single" w:sz="2" w:space="0" w:color="CCCCCC"/>
            </w:tcBorders>
          </w:tcPr>
          <w:p>
            <w:pPr>
              <w:pStyle w:val="CompactTableText"/>
              <w:bidi w:val="0"/>
              <w:spacing w:lineRule="auto" w:line="264" w:before="0" w:after="43"/>
              <w:jc w:val="start"/>
              <w:rPr/>
            </w:pPr>
            <w:r>
              <w:rPr/>
              <w:t>D02: Numeric comparison tolerance</w:t>
            </w:r>
          </w:p>
        </w:tc>
        <w:tc>
          <w:tcPr>
            <w:tcW w:w="3600" w:type="dxa"/>
            <w:tcBorders>
              <w:bottom w:val="single" w:sz="2" w:space="0" w:color="CCCCCC"/>
            </w:tcBorders>
          </w:tcPr>
          <w:p>
            <w:pPr>
              <w:pStyle w:val="CompactTableText"/>
              <w:bidi w:val="0"/>
              <w:spacing w:lineRule="auto" w:line="264" w:before="0" w:after="43"/>
              <w:jc w:val="start"/>
              <w:rPr/>
            </w:pPr>
            <w:r>
              <w:rPr/>
              <w:t>1e-09 same unit as compared values; numerical implementation</w:t>
            </w:r>
          </w:p>
        </w:tc>
        <w:tc>
          <w:tcPr>
            <w:tcW w:w="3600" w:type="dxa"/>
            <w:tcBorders>
              <w:bottom w:val="single" w:sz="2" w:space="0" w:color="CCCCCC"/>
            </w:tcBorders>
          </w:tcPr>
          <w:p>
            <w:pPr>
              <w:pStyle w:val="CompactTableText"/>
              <w:bidi w:val="0"/>
              <w:spacing w:lineRule="auto" w:line="264" w:before="0" w:after="43"/>
              <w:jc w:val="start"/>
              <w:rPr/>
            </w:pPr>
            <w:r>
              <w:rPr/>
              <w:t>benchmark policy choice</w:t>
            </w:r>
          </w:p>
        </w:tc>
        <w:tc>
          <w:tcPr>
            <w:tcW w:w="3600" w:type="dxa"/>
            <w:tcBorders>
              <w:bottom w:val="single" w:sz="2" w:space="0" w:color="CCCCCC"/>
            </w:tcBorders>
          </w:tcPr>
          <w:p>
            <w:pPr>
              <w:pStyle w:val="CompactTableText"/>
              <w:bidi w:val="0"/>
              <w:spacing w:lineRule="auto" w:line="264" w:before="0" w:after="43"/>
              <w:jc w:val="start"/>
              <w:rPr/>
            </w:pPr>
            <w:r>
              <w:rPr/>
              <w:t>Deterministic equality comparison Not instrument accuracy or service tolerance.</w:t>
            </w:r>
          </w:p>
        </w:tc>
      </w:tr>
      <w:tr>
        <w:trPr/>
        <w:tc>
          <w:tcPr>
            <w:tcW w:w="2160" w:type="dxa"/>
            <w:tcBorders>
              <w:bottom w:val="single" w:sz="2" w:space="0" w:color="CCCCCC"/>
            </w:tcBorders>
          </w:tcPr>
          <w:p>
            <w:pPr>
              <w:pStyle w:val="CompactTableText"/>
              <w:bidi w:val="0"/>
              <w:spacing w:lineRule="auto" w:line="264" w:before="0" w:after="43"/>
              <w:jc w:val="start"/>
              <w:rPr/>
            </w:pPr>
            <w:r>
              <w:rPr/>
              <w:t>S19: Machining eligibility</w:t>
            </w:r>
          </w:p>
        </w:tc>
        <w:tc>
          <w:tcPr>
            <w:tcW w:w="3600" w:type="dxa"/>
            <w:tcBorders>
              <w:bottom w:val="single" w:sz="2" w:space="0" w:color="CCCCCC"/>
            </w:tcBorders>
          </w:tcPr>
          <w:p>
            <w:pPr>
              <w:pStyle w:val="CompactTableText"/>
              <w:bidi w:val="0"/>
              <w:spacing w:lineRule="auto" w:line="264" w:before="0" w:after="43"/>
              <w:jc w:val="start"/>
              <w:rPr/>
            </w:pPr>
            <w:r>
              <w:rPr/>
              <w:t>True boolean; active benchmark</w:t>
            </w:r>
          </w:p>
        </w:tc>
        <w:tc>
          <w:tcPr>
            <w:tcW w:w="3600" w:type="dxa"/>
            <w:tcBorders>
              <w:bottom w:val="single" w:sz="2" w:space="0" w:color="CCCCCC"/>
            </w:tcBorders>
          </w:tcPr>
          <w:p>
            <w:pPr>
              <w:pStyle w:val="CompactTableText"/>
              <w:bidi w:val="0"/>
              <w:spacing w:lineRule="auto" w:line="264" w:before="0" w:after="43"/>
              <w:jc w:val="start"/>
              <w:rPr/>
            </w:pPr>
            <w:r>
              <w:rPr/>
              <w:t>benchmark policy choice</w:t>
            </w:r>
          </w:p>
        </w:tc>
        <w:tc>
          <w:tcPr>
            <w:tcW w:w="3600" w:type="dxa"/>
            <w:tcBorders>
              <w:bottom w:val="single" w:sz="2" w:space="0" w:color="CCCCCC"/>
            </w:tcBorders>
          </w:tcPr>
          <w:p>
            <w:pPr>
              <w:pStyle w:val="CompactTableText"/>
              <w:bidi w:val="0"/>
              <w:spacing w:lineRule="auto" w:line="264" w:before="0" w:after="43"/>
              <w:jc w:val="start"/>
              <w:rPr/>
            </w:pPr>
            <w:r>
              <w:rPr/>
              <w:t>Configured service availability for the benchmark Actual head height, cam-holder clearance and remaining stock are not established.</w:t>
            </w:r>
          </w:p>
        </w:tc>
      </w:tr>
      <w:tr>
        <w:trPr/>
        <w:tc>
          <w:tcPr>
            <w:tcW w:w="2160" w:type="dxa"/>
            <w:tcBorders>
              <w:bottom w:val="single" w:sz="2" w:space="0" w:color="CCCCCC"/>
            </w:tcBorders>
          </w:tcPr>
          <w:p>
            <w:pPr>
              <w:pStyle w:val="CompactTableText"/>
              <w:bidi w:val="0"/>
              <w:spacing w:lineRule="auto" w:line="264" w:before="0" w:after="43"/>
              <w:jc w:val="start"/>
              <w:rPr/>
            </w:pPr>
            <w:r>
              <w:rPr/>
              <w:t>S20: Accepted head recovery routes</w:t>
            </w:r>
          </w:p>
        </w:tc>
        <w:tc>
          <w:tcPr>
            <w:tcW w:w="3600" w:type="dxa"/>
            <w:tcBorders>
              <w:bottom w:val="single" w:sz="2" w:space="0" w:color="CCCCCC"/>
            </w:tcBorders>
          </w:tcPr>
          <w:p>
            <w:pPr>
              <w:pStyle w:val="CompactTableText"/>
              <w:bidi w:val="0"/>
              <w:spacing w:lineRule="auto" w:line="264" w:before="0" w:after="43"/>
              <w:jc w:val="start"/>
              <w:rPr/>
            </w:pPr>
            <w:r>
              <w:rPr/>
              <w:t>machine_head or replace operation; active benchmark</w:t>
            </w:r>
          </w:p>
        </w:tc>
        <w:tc>
          <w:tcPr>
            <w:tcW w:w="3600" w:type="dxa"/>
            <w:tcBorders>
              <w:bottom w:val="single" w:sz="2" w:space="0" w:color="CCCCCC"/>
            </w:tcBorders>
          </w:tcPr>
          <w:p>
            <w:pPr>
              <w:pStyle w:val="CompactTableText"/>
              <w:bidi w:val="0"/>
              <w:spacing w:lineRule="auto" w:line="264" w:before="0" w:after="43"/>
              <w:jc w:val="start"/>
              <w:rPr/>
            </w:pPr>
            <w:r>
              <w:rPr/>
              <w:t>benchmark policy choice</w:t>
            </w:r>
          </w:p>
        </w:tc>
        <w:tc>
          <w:tcPr>
            <w:tcW w:w="3600" w:type="dxa"/>
            <w:tcBorders>
              <w:bottom w:val="single" w:sz="2" w:space="0" w:color="CCCCCC"/>
            </w:tcBorders>
          </w:tcPr>
          <w:p>
            <w:pPr>
              <w:pStyle w:val="CompactTableText"/>
              <w:bidi w:val="0"/>
              <w:spacing w:lineRule="auto" w:line="264" w:before="0" w:after="43"/>
              <w:jc w:val="start"/>
              <w:rPr/>
            </w:pPr>
            <w:r>
              <w:rPr/>
              <w:t>Two allowed ways to resolve V3</w:t>
            </w:r>
          </w:p>
        </w:tc>
      </w:tr>
      <w:tr>
        <w:trPr/>
        <w:tc>
          <w:tcPr>
            <w:tcW w:w="2160" w:type="dxa"/>
            <w:tcBorders>
              <w:bottom w:val="single" w:sz="2" w:space="0" w:color="CCCCCC"/>
            </w:tcBorders>
          </w:tcPr>
          <w:p>
            <w:pPr>
              <w:pStyle w:val="CompactTableText"/>
              <w:bidi w:val="0"/>
              <w:spacing w:lineRule="auto" w:line="264" w:before="0" w:after="43"/>
              <w:jc w:val="start"/>
              <w:rPr/>
            </w:pPr>
            <w:r>
              <w:rPr/>
              <w:t>G15: Stock identifiers</w:t>
            </w:r>
          </w:p>
        </w:tc>
        <w:tc>
          <w:tcPr>
            <w:tcW w:w="3600" w:type="dxa"/>
            <w:tcBorders>
              <w:bottom w:val="single" w:sz="2" w:space="0" w:color="CCCCCC"/>
            </w:tcBorders>
          </w:tcPr>
          <w:p>
            <w:pPr>
              <w:pStyle w:val="CompactTableText"/>
              <w:bidi w:val="0"/>
              <w:spacing w:lineRule="auto" w:line="264" w:before="0" w:after="43"/>
              <w:jc w:val="start"/>
              <w:rPr/>
            </w:pPr>
            <w:r>
              <w:rPr/>
              <w:t>HG-075-0762-MLS;HG-078-1200;HEAD-SERVICE;BELT-SERVICE identifiers; active benchmark</w:t>
            </w:r>
          </w:p>
        </w:tc>
        <w:tc>
          <w:tcPr>
            <w:tcW w:w="3600" w:type="dxa"/>
            <w:tcBorders>
              <w:bottom w:val="single" w:sz="2" w:space="0" w:color="CCCCCC"/>
            </w:tcBorders>
          </w:tcPr>
          <w:p>
            <w:pPr>
              <w:pStyle w:val="CompactTableText"/>
              <w:bidi w:val="0"/>
              <w:spacing w:lineRule="auto" w:line="264" w:before="0" w:after="43"/>
              <w:jc w:val="start"/>
              <w:rPr/>
            </w:pPr>
            <w:r>
              <w:rPr/>
              <w:t>benchmark policy choice</w:t>
            </w:r>
          </w:p>
        </w:tc>
        <w:tc>
          <w:tcPr>
            <w:tcW w:w="3600" w:type="dxa"/>
            <w:tcBorders>
              <w:bottom w:val="single" w:sz="2" w:space="0" w:color="CCCCCC"/>
            </w:tcBorders>
          </w:tcPr>
          <w:p>
            <w:pPr>
              <w:pStyle w:val="CompactTableText"/>
              <w:bidi w:val="0"/>
              <w:spacing w:lineRule="auto" w:line="264" w:before="0" w:after="43"/>
              <w:jc w:val="start"/>
              <w:rPr/>
            </w:pPr>
            <w:r>
              <w:rPr/>
              <w:t>Authored distinguishable supply identities; preserve physical replacement identity Names are benchmark stock codes, not verified supplier part numbers.</w:t>
            </w:r>
          </w:p>
        </w:tc>
      </w:tr>
      <w:tr>
        <w:trPr/>
        <w:tc>
          <w:tcPr>
            <w:tcW w:w="2160" w:type="dxa"/>
            <w:tcBorders>
              <w:bottom w:val="single" w:sz="2" w:space="0" w:color="CCCCCC"/>
            </w:tcBorders>
          </w:tcPr>
          <w:p>
            <w:pPr>
              <w:pStyle w:val="CompactTableText"/>
              <w:bidi w:val="0"/>
              <w:spacing w:lineRule="auto" w:line="264" w:before="0" w:after="43"/>
              <w:jc w:val="start"/>
              <w:rPr/>
            </w:pPr>
            <w:r>
              <w:rPr/>
              <w:t>G16: Extra stock by variant</w:t>
            </w:r>
          </w:p>
        </w:tc>
        <w:tc>
          <w:tcPr>
            <w:tcW w:w="3600" w:type="dxa"/>
            <w:tcBorders>
              <w:bottom w:val="single" w:sz="2" w:space="0" w:color="CCCCCC"/>
            </w:tcBorders>
          </w:tcPr>
          <w:p>
            <w:pPr>
              <w:pStyle w:val="CompactTableText"/>
              <w:bidi w:val="0"/>
              <w:spacing w:lineRule="auto" w:line="264" w:before="0" w:after="43"/>
              <w:jc w:val="start"/>
              <w:rPr/>
            </w:pPr>
            <w:r>
              <w:rPr/>
              <w:t>wrong gasket:V4;new head:V3;new belt:V5 availability; active benchmark</w:t>
            </w:r>
          </w:p>
        </w:tc>
        <w:tc>
          <w:tcPr>
            <w:tcW w:w="3600" w:type="dxa"/>
            <w:tcBorders>
              <w:bottom w:val="single" w:sz="2" w:space="0" w:color="CCCCCC"/>
            </w:tcBorders>
          </w:tcPr>
          <w:p>
            <w:pPr>
              <w:pStyle w:val="CompactTableText"/>
              <w:bidi w:val="0"/>
              <w:spacing w:lineRule="auto" w:line="264" w:before="0" w:after="43"/>
              <w:jc w:val="start"/>
              <w:rPr/>
            </w:pPr>
            <w:r>
              <w:rPr/>
              <w:t>benchmark policy choice</w:t>
            </w:r>
          </w:p>
        </w:tc>
        <w:tc>
          <w:tcPr>
            <w:tcW w:w="3600" w:type="dxa"/>
            <w:tcBorders>
              <w:bottom w:val="single" w:sz="2" w:space="0" w:color="CCCCCC"/>
            </w:tcBorders>
          </w:tcPr>
          <w:p>
            <w:pPr>
              <w:pStyle w:val="CompactTableText"/>
              <w:bidi w:val="0"/>
              <w:spacing w:lineRule="auto" w:line="264" w:before="0" w:after="43"/>
              <w:jc w:val="start"/>
              <w:rPr/>
            </w:pPr>
            <w:r>
              <w:rPr/>
              <w:t>Variant-specific offered supplies</w:t>
            </w:r>
          </w:p>
        </w:tc>
      </w:tr>
    </w:tbl>
    <w:p>
      <w:pPr>
        <w:pStyle w:val="LandscapeFigureHeading"/>
        <w:bidi w:val="0"/>
        <w:jc w:val="start"/>
        <w:rPr/>
      </w:pPr>
      <w:r>
        <w:rPr/>
        <w:t>Appendix C. Engineering specifications — I01 to D04</w:t>
      </w:r>
    </w:p>
    <w:p>
      <w:pPr>
        <w:pStyle w:val="TableCaption"/>
        <w:keepNext w:val="true"/>
        <w:bidi w:val="0"/>
        <w:jc w:val="start"/>
        <w:rPr/>
      </w:pPr>
      <w:r>
        <w:rPr/>
        <w:t>Table 28. Appendix C. Engineering specifications — I01 to D04</w:t>
      </w:r>
    </w:p>
    <w:tbl>
      <w:tblPr>
        <w:tblW w:w="12960" w:type="dxa"/>
        <w:jc w:val="start"/>
        <w:tblInd w:w="0" w:type="dxa"/>
        <w:tblLayout w:type="fixed"/>
        <w:tblCellMar>
          <w:top w:w="58" w:type="dxa"/>
          <w:start w:w="58" w:type="dxa"/>
          <w:bottom w:w="58" w:type="dxa"/>
          <w:end w:w="58" w:type="dxa"/>
        </w:tblCellMar>
      </w:tblPr>
      <w:tblGrid>
        <w:gridCol w:w="2160"/>
        <w:gridCol w:w="3600"/>
        <w:gridCol w:w="3600"/>
        <w:gridCol w:w="3600"/>
      </w:tblGrid>
      <w:tr>
        <w:trPr/>
        <w:tc>
          <w:tcPr>
            <w:tcW w:w="2160" w:type="dxa"/>
            <w:tcBorders>
              <w:bottom w:val="single" w:sz="2" w:space="0" w:color="CCCCCC"/>
            </w:tcBorders>
          </w:tcPr>
          <w:p>
            <w:pPr>
              <w:pStyle w:val="CompactTableText"/>
              <w:bidi w:val="0"/>
              <w:spacing w:lineRule="auto" w:line="264" w:before="0" w:after="43"/>
              <w:jc w:val="start"/>
              <w:rPr/>
            </w:pPr>
            <w:r>
              <w:rPr>
                <w:rStyle w:val="Tb"/>
              </w:rPr>
              <w:t>Specification</w:t>
            </w:r>
          </w:p>
        </w:tc>
        <w:tc>
          <w:tcPr>
            <w:tcW w:w="3600" w:type="dxa"/>
            <w:tcBorders>
              <w:bottom w:val="single" w:sz="2" w:space="0" w:color="CCCCCC"/>
            </w:tcBorders>
          </w:tcPr>
          <w:p>
            <w:pPr>
              <w:pStyle w:val="CompactTableText"/>
              <w:bidi w:val="0"/>
              <w:spacing w:lineRule="auto" w:line="264" w:before="0" w:after="43"/>
              <w:jc w:val="start"/>
              <w:rPr/>
            </w:pPr>
            <w:r>
              <w:rPr>
                <w:rStyle w:val="Tb"/>
              </w:rPr>
              <w:t>Benchmark value and scope</w:t>
            </w:r>
          </w:p>
        </w:tc>
        <w:tc>
          <w:tcPr>
            <w:tcW w:w="3600" w:type="dxa"/>
            <w:tcBorders>
              <w:bottom w:val="single" w:sz="2" w:space="0" w:color="CCCCCC"/>
            </w:tcBorders>
          </w:tcPr>
          <w:p>
            <w:pPr>
              <w:pStyle w:val="CompactTableText"/>
              <w:bidi w:val="0"/>
              <w:spacing w:lineRule="auto" w:line="264" w:before="0" w:after="43"/>
              <w:jc w:val="start"/>
              <w:rPr/>
            </w:pPr>
            <w:r>
              <w:rPr>
                <w:rStyle w:val="Tb"/>
              </w:rPr>
              <w:t>Basis and public-source value</w:t>
            </w:r>
          </w:p>
        </w:tc>
        <w:tc>
          <w:tcPr>
            <w:tcW w:w="3600" w:type="dxa"/>
            <w:tcBorders>
              <w:bottom w:val="single" w:sz="2" w:space="0" w:color="CCCCCC"/>
            </w:tcBorders>
          </w:tcPr>
          <w:p>
            <w:pPr>
              <w:pStyle w:val="CompactTableText"/>
              <w:bidi w:val="0"/>
              <w:spacing w:lineRule="auto" w:line="264" w:before="0" w:after="43"/>
              <w:jc w:val="start"/>
              <w:rPr/>
            </w:pPr>
            <w:r>
              <w:rPr>
                <w:rStyle w:val="Tb"/>
              </w:rPr>
              <w:t>Selection and disagreement or limit</w:t>
            </w:r>
          </w:p>
        </w:tc>
      </w:tr>
      <w:tr>
        <w:trPr/>
        <w:tc>
          <w:tcPr>
            <w:tcW w:w="2160" w:type="dxa"/>
            <w:tcBorders>
              <w:bottom w:val="single" w:sz="2" w:space="0" w:color="CCCCCC"/>
            </w:tcBorders>
          </w:tcPr>
          <w:p>
            <w:pPr>
              <w:pStyle w:val="CompactTableText"/>
              <w:bidi w:val="0"/>
              <w:spacing w:lineRule="auto" w:line="264" w:before="0" w:after="43"/>
              <w:jc w:val="start"/>
              <w:rPr/>
            </w:pPr>
            <w:r>
              <w:rPr/>
              <w:t>I01: Reported dimensional units</w:t>
            </w:r>
          </w:p>
        </w:tc>
        <w:tc>
          <w:tcPr>
            <w:tcW w:w="3600" w:type="dxa"/>
            <w:tcBorders>
              <w:bottom w:val="single" w:sz="2" w:space="0" w:color="CCCCCC"/>
            </w:tcBorders>
          </w:tcPr>
          <w:p>
            <w:pPr>
              <w:pStyle w:val="CompactTableText"/>
              <w:bidi w:val="0"/>
              <w:spacing w:lineRule="auto" w:line="264" w:before="0" w:after="43"/>
              <w:jc w:val="start"/>
              <w:rPr/>
            </w:pPr>
            <w:r>
              <w:rPr/>
              <w:t>flatness:m;roughness:um;bolt extension/free length:mm;gasket bore/thickness:mm channel units; active benchmark</w:t>
            </w:r>
          </w:p>
        </w:tc>
        <w:tc>
          <w:tcPr>
            <w:tcW w:w="3600" w:type="dxa"/>
            <w:tcBorders>
              <w:bottom w:val="single" w:sz="2" w:space="0" w:color="CCCCCC"/>
            </w:tcBorders>
          </w:tcPr>
          <w:p>
            <w:pPr>
              <w:pStyle w:val="CompactTableText"/>
              <w:bidi w:val="0"/>
              <w:spacing w:lineRule="auto" w:line="264" w:before="0" w:after="43"/>
              <w:jc w:val="start"/>
              <w:rPr/>
            </w:pPr>
            <w:r>
              <w:rPr/>
              <w:t>benchmark policy choice</w:t>
            </w:r>
          </w:p>
        </w:tc>
        <w:tc>
          <w:tcPr>
            <w:tcW w:w="3600" w:type="dxa"/>
            <w:tcBorders>
              <w:bottom w:val="single" w:sz="2" w:space="0" w:color="CCCCCC"/>
            </w:tcBorders>
          </w:tcPr>
          <w:p>
            <w:pPr>
              <w:pStyle w:val="CompactTableText"/>
              <w:bidi w:val="0"/>
              <w:spacing w:lineRule="auto" w:line="264" w:before="0" w:after="43"/>
              <w:jc w:val="start"/>
              <w:rPr/>
            </w:pPr>
            <w:r>
              <w:rPr/>
              <w:t>Explicit deterministic observation interface Unit conversion in this table does not add measurement resolution.</w:t>
            </w:r>
          </w:p>
        </w:tc>
      </w:tr>
      <w:tr>
        <w:trPr/>
        <w:tc>
          <w:tcPr>
            <w:tcW w:w="2160" w:type="dxa"/>
            <w:tcBorders>
              <w:bottom w:val="single" w:sz="2" w:space="0" w:color="CCCCCC"/>
            </w:tcBorders>
          </w:tcPr>
          <w:p>
            <w:pPr>
              <w:pStyle w:val="CompactTableText"/>
              <w:bidi w:val="0"/>
              <w:spacing w:lineRule="auto" w:line="264" w:before="0" w:after="43"/>
              <w:jc w:val="start"/>
              <w:rPr/>
            </w:pPr>
            <w:r>
              <w:rPr/>
              <w:t>I02: Instrument labels</w:t>
            </w:r>
          </w:p>
        </w:tc>
        <w:tc>
          <w:tcPr>
            <w:tcW w:w="3600" w:type="dxa"/>
            <w:tcBorders>
              <w:bottom w:val="single" w:sz="2" w:space="0" w:color="CCCCCC"/>
            </w:tcBorders>
          </w:tcPr>
          <w:p>
            <w:pPr>
              <w:pStyle w:val="CompactTableText"/>
              <w:bidi w:val="0"/>
              <w:spacing w:lineRule="auto" w:line="264" w:before="0" w:after="43"/>
              <w:jc w:val="start"/>
              <w:rPr/>
            </w:pPr>
            <w:r>
              <w:rPr/>
              <w:t>flatness;roughness;length_comparator;length_caliper;caliper labels; active benchmark</w:t>
            </w:r>
          </w:p>
        </w:tc>
        <w:tc>
          <w:tcPr>
            <w:tcW w:w="3600" w:type="dxa"/>
            <w:tcBorders>
              <w:bottom w:val="single" w:sz="2" w:space="0" w:color="CCCCCC"/>
            </w:tcBorders>
          </w:tcPr>
          <w:p>
            <w:pPr>
              <w:pStyle w:val="CompactTableText"/>
              <w:bidi w:val="0"/>
              <w:spacing w:lineRule="auto" w:line="264" w:before="0" w:after="43"/>
              <w:jc w:val="start"/>
              <w:rPr/>
            </w:pPr>
            <w:r>
              <w:rPr/>
              <w:t>benchmark policy choice</w:t>
            </w:r>
          </w:p>
        </w:tc>
        <w:tc>
          <w:tcPr>
            <w:tcW w:w="3600" w:type="dxa"/>
            <w:tcBorders>
              <w:bottom w:val="single" w:sz="2" w:space="0" w:color="CCCCCC"/>
            </w:tcBorders>
          </w:tcPr>
          <w:p>
            <w:pPr>
              <w:pStyle w:val="CompactTableText"/>
              <w:bidi w:val="0"/>
              <w:spacing w:lineRule="auto" w:line="264" w:before="0" w:after="43"/>
              <w:jc w:val="start"/>
              <w:rPr/>
            </w:pPr>
            <w:r>
              <w:rPr/>
              <w:t>Describe the requested observation channel A label does not certify a real instrument or a multi-point protocol.</w:t>
            </w:r>
          </w:p>
        </w:tc>
      </w:tr>
      <w:tr>
        <w:trPr/>
        <w:tc>
          <w:tcPr>
            <w:tcW w:w="2160" w:type="dxa"/>
            <w:tcBorders>
              <w:bottom w:val="single" w:sz="2" w:space="0" w:color="CCCCCC"/>
            </w:tcBorders>
          </w:tcPr>
          <w:p>
            <w:pPr>
              <w:pStyle w:val="CompactTableText"/>
              <w:bidi w:val="0"/>
              <w:spacing w:lineRule="auto" w:line="264" w:before="0" w:after="43"/>
              <w:jc w:val="start"/>
              <w:rPr/>
            </w:pPr>
            <w:r>
              <w:rPr/>
              <w:t>I03: Unprovided bolt free length</w:t>
            </w:r>
          </w:p>
        </w:tc>
        <w:tc>
          <w:tcPr>
            <w:tcW w:w="3600" w:type="dxa"/>
            <w:tcBorders>
              <w:bottom w:val="single" w:sz="2" w:space="0" w:color="CCCCCC"/>
            </w:tcBorders>
          </w:tcPr>
          <w:p>
            <w:pPr>
              <w:pStyle w:val="CompactTableText"/>
              <w:bidi w:val="0"/>
              <w:spacing w:lineRule="auto" w:line="264" w:before="0" w:after="43"/>
              <w:jc w:val="start"/>
              <w:rPr/>
            </w:pPr>
            <w:r>
              <w:rPr/>
              <w:t>null / unknown mm; active benchmark</w:t>
            </w:r>
          </w:p>
        </w:tc>
        <w:tc>
          <w:tcPr>
            <w:tcW w:w="3600" w:type="dxa"/>
            <w:tcBorders>
              <w:bottom w:val="single" w:sz="2" w:space="0" w:color="CCCCCC"/>
            </w:tcBorders>
          </w:tcPr>
          <w:p>
            <w:pPr>
              <w:pStyle w:val="CompactTableText"/>
              <w:bidi w:val="0"/>
              <w:spacing w:lineRule="auto" w:line="264" w:before="0" w:after="43"/>
              <w:jc w:val="start"/>
              <w:rPr/>
            </w:pPr>
            <w:r>
              <w:rPr/>
              <w:t>benchmark policy choice</w:t>
            </w:r>
          </w:p>
        </w:tc>
        <w:tc>
          <w:tcPr>
            <w:tcW w:w="3600" w:type="dxa"/>
            <w:tcBorders>
              <w:bottom w:val="single" w:sz="2" w:space="0" w:color="CCCCCC"/>
            </w:tcBorders>
          </w:tcPr>
          <w:p>
            <w:pPr>
              <w:pStyle w:val="CompactTableText"/>
              <w:bidi w:val="0"/>
              <w:spacing w:lineRule="auto" w:line="264" w:before="0" w:after="43"/>
              <w:jc w:val="start"/>
              <w:rPr/>
            </w:pPr>
            <w:r>
              <w:rPr/>
              <w:t>Preserve missing free-length observation instead of deriving it from torque or nominal length Nominal140 mm part length is not an observed free length.</w:t>
            </w:r>
          </w:p>
        </w:tc>
      </w:tr>
      <w:tr>
        <w:trPr/>
        <w:tc>
          <w:tcPr>
            <w:tcW w:w="2160" w:type="dxa"/>
            <w:tcBorders>
              <w:bottom w:val="single" w:sz="2" w:space="0" w:color="CCCCCC"/>
            </w:tcBorders>
          </w:tcPr>
          <w:p>
            <w:pPr>
              <w:pStyle w:val="CompactTableText"/>
              <w:bidi w:val="0"/>
              <w:spacing w:lineRule="auto" w:line="264" w:before="0" w:after="43"/>
              <w:jc w:val="start"/>
              <w:rPr/>
            </w:pPr>
            <w:r>
              <w:rPr/>
              <w:t>D03: Root policy metadata</w:t>
            </w:r>
          </w:p>
        </w:tc>
        <w:tc>
          <w:tcPr>
            <w:tcW w:w="3600" w:type="dxa"/>
            <w:tcBorders>
              <w:bottom w:val="single" w:sz="2" w:space="0" w:color="CCCCCC"/>
            </w:tcBorders>
          </w:tcPr>
          <w:p>
            <w:pPr>
              <w:pStyle w:val="CompactTableText"/>
              <w:bidi w:val="0"/>
              <w:spacing w:lineRule="auto" w:line="264" w:before="0" w:after="43"/>
              <w:jc w:val="start"/>
              <w:rPr/>
            </w:pPr>
            <w:r>
              <w:rPr/>
              <w:t>public_observation=technician-v2;qualification=software-fixture;flatness_limit_source_ids=[B1] metadata; active benchmark</w:t>
            </w:r>
          </w:p>
        </w:tc>
        <w:tc>
          <w:tcPr>
            <w:tcW w:w="3600" w:type="dxa"/>
            <w:tcBorders>
              <w:bottom w:val="single" w:sz="2" w:space="0" w:color="CCCCCC"/>
            </w:tcBorders>
          </w:tcPr>
          <w:p>
            <w:pPr>
              <w:pStyle w:val="CompactTableText"/>
              <w:bidi w:val="0"/>
              <w:spacing w:lineRule="auto" w:line="264" w:before="0" w:after="43"/>
              <w:jc w:val="start"/>
              <w:rPr/>
            </w:pPr>
            <w:r>
              <w:rPr/>
              <w:t>benchmark policy choice</w:t>
            </w:r>
          </w:p>
        </w:tc>
        <w:tc>
          <w:tcPr>
            <w:tcW w:w="3600" w:type="dxa"/>
            <w:tcBorders>
              <w:bottom w:val="single" w:sz="2" w:space="0" w:color="CCCCCC"/>
            </w:tcBorders>
          </w:tcPr>
          <w:p>
            <w:pPr>
              <w:pStyle w:val="CompactTableText"/>
              <w:bidi w:val="0"/>
              <w:spacing w:lineRule="auto" w:line="264" w:before="0" w:after="43"/>
              <w:jc w:val="start"/>
              <w:rPr/>
            </w:pPr>
            <w:r>
              <w:rPr/>
              <w:t>Observation exposure and policy provenance; numeric root keys are listed separately Metadata is not additional physical calibration.</w:t>
            </w:r>
          </w:p>
        </w:tc>
      </w:tr>
      <w:tr>
        <w:trPr/>
        <w:tc>
          <w:tcPr>
            <w:tcW w:w="2160" w:type="dxa"/>
            <w:tcBorders>
              <w:bottom w:val="single" w:sz="2" w:space="0" w:color="CCCCCC"/>
            </w:tcBorders>
          </w:tcPr>
          <w:p>
            <w:pPr>
              <w:pStyle w:val="CompactTableText"/>
              <w:bidi w:val="0"/>
              <w:spacing w:lineRule="auto" w:line="264" w:before="0" w:after="43"/>
              <w:jc w:val="start"/>
              <w:rPr/>
            </w:pPr>
            <w:r>
              <w:rPr/>
              <w:t>D04: Complete delivered removal-rule geometry</w:t>
            </w:r>
          </w:p>
        </w:tc>
        <w:tc>
          <w:tcPr>
            <w:tcW w:w="3600" w:type="dxa"/>
            <w:tcBorders>
              <w:bottom w:val="single" w:sz="2" w:space="0" w:color="CCCCCC"/>
            </w:tcBorders>
          </w:tcPr>
          <w:p>
            <w:pPr>
              <w:pStyle w:val="CompactTableText"/>
              <w:bidi w:val="0"/>
              <w:spacing w:lineRule="auto" w:line="264" w:before="0" w:after="43"/>
              <w:jc w:val="start"/>
              <w:rPr/>
            </w:pPr>
            <w:r>
              <w:rPr/>
              <w:t>source-versioned body poses, routes, precedence and release/restoration rules bound set; complete source-bound machine census, not a sampled service value</w:t>
            </w:r>
          </w:p>
        </w:tc>
        <w:tc>
          <w:tcPr>
            <w:tcW w:w="3600" w:type="dxa"/>
            <w:tcBorders>
              <w:bottom w:val="single" w:sz="2" w:space="0" w:color="CCCCCC"/>
            </w:tcBorders>
          </w:tcPr>
          <w:p>
            <w:pPr>
              <w:pStyle w:val="CompactTableText"/>
              <w:bidi w:val="0"/>
              <w:spacing w:lineRule="auto" w:line="264" w:before="0" w:after="43"/>
              <w:jc w:val="start"/>
              <w:rPr/>
            </w:pPr>
            <w:r>
              <w:rPr/>
              <w:t>benchmark policy choice</w:t>
            </w:r>
          </w:p>
        </w:tc>
        <w:tc>
          <w:tcPr>
            <w:tcW w:w="3600" w:type="dxa"/>
            <w:tcBorders>
              <w:bottom w:val="single" w:sz="2" w:space="0" w:color="CCCCCC"/>
            </w:tcBorders>
          </w:tcPr>
          <w:p>
            <w:pPr>
              <w:pStyle w:val="CompactTableText"/>
              <w:bidi w:val="0"/>
              <w:spacing w:lineRule="auto" w:line="264" w:before="0" w:after="43"/>
              <w:jc w:val="start"/>
              <w:rPr/>
            </w:pPr>
            <w:r>
              <w:rPr/>
              <w:t>Finite CAD-derived obstruction model and declared procedural rules; complete pointer census retained in the audit Grouped geometric arrays are not workshop limits; no whole-engine contact or trajectory certificate.</w:t>
            </w:r>
          </w:p>
        </w:tc>
      </w:tr>
    </w:tbl>
    <w:p>
      <w:pPr>
        <w:pStyle w:val="LandscapeFigureHeading"/>
        <w:bidi w:val="0"/>
        <w:jc w:val="start"/>
        <w:rPr/>
      </w:pPr>
      <w:r>
        <w:rPr/>
        <w:t>Appendix C. Engineering specifications — J09 to J12</w:t>
      </w:r>
    </w:p>
    <w:p>
      <w:pPr>
        <w:pStyle w:val="TableCaption"/>
        <w:keepNext w:val="true"/>
        <w:bidi w:val="0"/>
        <w:jc w:val="start"/>
        <w:rPr/>
      </w:pPr>
      <w:r>
        <w:rPr/>
        <w:t>Table 29. Appendix C. Engineering specifications — J09 to J12</w:t>
      </w:r>
    </w:p>
    <w:tbl>
      <w:tblPr>
        <w:tblW w:w="12960" w:type="dxa"/>
        <w:jc w:val="start"/>
        <w:tblInd w:w="0" w:type="dxa"/>
        <w:tblLayout w:type="fixed"/>
        <w:tblCellMar>
          <w:top w:w="58" w:type="dxa"/>
          <w:start w:w="58" w:type="dxa"/>
          <w:bottom w:w="58" w:type="dxa"/>
          <w:end w:w="58" w:type="dxa"/>
        </w:tblCellMar>
      </w:tblPr>
      <w:tblGrid>
        <w:gridCol w:w="2160"/>
        <w:gridCol w:w="3600"/>
        <w:gridCol w:w="3600"/>
        <w:gridCol w:w="3600"/>
      </w:tblGrid>
      <w:tr>
        <w:trPr/>
        <w:tc>
          <w:tcPr>
            <w:tcW w:w="2160" w:type="dxa"/>
            <w:tcBorders>
              <w:bottom w:val="single" w:sz="2" w:space="0" w:color="CCCCCC"/>
            </w:tcBorders>
          </w:tcPr>
          <w:p>
            <w:pPr>
              <w:pStyle w:val="CompactTableText"/>
              <w:bidi w:val="0"/>
              <w:spacing w:lineRule="auto" w:line="264" w:before="0" w:after="43"/>
              <w:jc w:val="start"/>
              <w:rPr/>
            </w:pPr>
            <w:r>
              <w:rPr>
                <w:rStyle w:val="Tb"/>
              </w:rPr>
              <w:t>Specification</w:t>
            </w:r>
          </w:p>
        </w:tc>
        <w:tc>
          <w:tcPr>
            <w:tcW w:w="3600" w:type="dxa"/>
            <w:tcBorders>
              <w:bottom w:val="single" w:sz="2" w:space="0" w:color="CCCCCC"/>
            </w:tcBorders>
          </w:tcPr>
          <w:p>
            <w:pPr>
              <w:pStyle w:val="CompactTableText"/>
              <w:bidi w:val="0"/>
              <w:spacing w:lineRule="auto" w:line="264" w:before="0" w:after="43"/>
              <w:jc w:val="start"/>
              <w:rPr/>
            </w:pPr>
            <w:r>
              <w:rPr>
                <w:rStyle w:val="Tb"/>
              </w:rPr>
              <w:t>Benchmark value and scope</w:t>
            </w:r>
          </w:p>
        </w:tc>
        <w:tc>
          <w:tcPr>
            <w:tcW w:w="3600" w:type="dxa"/>
            <w:tcBorders>
              <w:bottom w:val="single" w:sz="2" w:space="0" w:color="CCCCCC"/>
            </w:tcBorders>
          </w:tcPr>
          <w:p>
            <w:pPr>
              <w:pStyle w:val="CompactTableText"/>
              <w:bidi w:val="0"/>
              <w:spacing w:lineRule="auto" w:line="264" w:before="0" w:after="43"/>
              <w:jc w:val="start"/>
              <w:rPr/>
            </w:pPr>
            <w:r>
              <w:rPr>
                <w:rStyle w:val="Tb"/>
              </w:rPr>
              <w:t>Basis and public-source value</w:t>
            </w:r>
          </w:p>
        </w:tc>
        <w:tc>
          <w:tcPr>
            <w:tcW w:w="3600" w:type="dxa"/>
            <w:tcBorders>
              <w:bottom w:val="single" w:sz="2" w:space="0" w:color="CCCCCC"/>
            </w:tcBorders>
          </w:tcPr>
          <w:p>
            <w:pPr>
              <w:pStyle w:val="CompactTableText"/>
              <w:bidi w:val="0"/>
              <w:spacing w:lineRule="auto" w:line="264" w:before="0" w:after="43"/>
              <w:jc w:val="start"/>
              <w:rPr/>
            </w:pPr>
            <w:r>
              <w:rPr>
                <w:rStyle w:val="Tb"/>
              </w:rPr>
              <w:t>Selection and disagreement or limit</w:t>
            </w:r>
          </w:p>
        </w:tc>
      </w:tr>
      <w:tr>
        <w:trPr/>
        <w:tc>
          <w:tcPr>
            <w:tcW w:w="2160" w:type="dxa"/>
            <w:tcBorders>
              <w:bottom w:val="single" w:sz="2" w:space="0" w:color="CCCCCC"/>
            </w:tcBorders>
          </w:tcPr>
          <w:p>
            <w:pPr>
              <w:pStyle w:val="CompactTableText"/>
              <w:bidi w:val="0"/>
              <w:spacing w:lineRule="auto" w:line="264" w:before="0" w:after="43"/>
              <w:jc w:val="start"/>
              <w:rPr/>
            </w:pPr>
            <w:r>
              <w:rPr/>
              <w:t>J09: Event-count maximum</w:t>
            </w:r>
          </w:p>
        </w:tc>
        <w:tc>
          <w:tcPr>
            <w:tcW w:w="3600" w:type="dxa"/>
            <w:tcBorders>
              <w:bottom w:val="single" w:sz="2" w:space="0" w:color="CCCCCC"/>
            </w:tcBorders>
          </w:tcPr>
          <w:p>
            <w:pPr>
              <w:pStyle w:val="CompactTableText"/>
              <w:bidi w:val="0"/>
              <w:spacing w:lineRule="auto" w:line="264" w:before="0" w:after="43"/>
              <w:jc w:val="start"/>
              <w:rPr/>
            </w:pPr>
            <w:r>
              <w:rPr/>
              <w:t>2048 events; numerical implementation</w:t>
            </w:r>
          </w:p>
        </w:tc>
        <w:tc>
          <w:tcPr>
            <w:tcW w:w="3600" w:type="dxa"/>
            <w:tcBorders>
              <w:bottom w:val="single" w:sz="2" w:space="0" w:color="CCCCCC"/>
            </w:tcBorders>
          </w:tcPr>
          <w:p>
            <w:pPr>
              <w:pStyle w:val="CompactTableText"/>
              <w:bidi w:val="0"/>
              <w:spacing w:lineRule="auto" w:line="264" w:before="0" w:after="43"/>
              <w:jc w:val="start"/>
              <w:rPr/>
            </w:pPr>
            <w:r>
              <w:rPr/>
              <w:t>benchmark policy choice</w:t>
            </w:r>
          </w:p>
        </w:tc>
        <w:tc>
          <w:tcPr>
            <w:tcW w:w="3600" w:type="dxa"/>
            <w:tcBorders>
              <w:bottom w:val="single" w:sz="2" w:space="0" w:color="CCCCCC"/>
            </w:tcBorders>
          </w:tcPr>
          <w:p>
            <w:pPr>
              <w:pStyle w:val="CompactTableText"/>
              <w:bidi w:val="0"/>
              <w:spacing w:lineRule="auto" w:line="264" w:before="0" w:after="43"/>
              <w:jc w:val="start"/>
              <w:rPr/>
            </w:pPr>
            <w:r>
              <w:rPr/>
              <w:t>Bounded deterministic solver workload</w:t>
            </w:r>
          </w:p>
        </w:tc>
      </w:tr>
      <w:tr>
        <w:trPr/>
        <w:tc>
          <w:tcPr>
            <w:tcW w:w="2160" w:type="dxa"/>
            <w:tcBorders>
              <w:bottom w:val="single" w:sz="2" w:space="0" w:color="CCCCCC"/>
            </w:tcBorders>
          </w:tcPr>
          <w:p>
            <w:pPr>
              <w:pStyle w:val="CompactTableText"/>
              <w:bidi w:val="0"/>
              <w:spacing w:lineRule="auto" w:line="264" w:before="0" w:after="43"/>
              <w:jc w:val="start"/>
              <w:rPr/>
            </w:pPr>
            <w:r>
              <w:rPr/>
              <w:t>J10: Newton iteration maximum</w:t>
            </w:r>
          </w:p>
        </w:tc>
        <w:tc>
          <w:tcPr>
            <w:tcW w:w="3600" w:type="dxa"/>
            <w:tcBorders>
              <w:bottom w:val="single" w:sz="2" w:space="0" w:color="CCCCCC"/>
            </w:tcBorders>
          </w:tcPr>
          <w:p>
            <w:pPr>
              <w:pStyle w:val="CompactTableText"/>
              <w:bidi w:val="0"/>
              <w:spacing w:lineRule="auto" w:line="264" w:before="0" w:after="43"/>
              <w:jc w:val="start"/>
              <w:rPr/>
            </w:pPr>
            <w:r>
              <w:rPr/>
              <w:t>100 iterations; numerical implementation</w:t>
            </w:r>
          </w:p>
        </w:tc>
        <w:tc>
          <w:tcPr>
            <w:tcW w:w="3600" w:type="dxa"/>
            <w:tcBorders>
              <w:bottom w:val="single" w:sz="2" w:space="0" w:color="CCCCCC"/>
            </w:tcBorders>
          </w:tcPr>
          <w:p>
            <w:pPr>
              <w:pStyle w:val="CompactTableText"/>
              <w:bidi w:val="0"/>
              <w:spacing w:lineRule="auto" w:line="264" w:before="0" w:after="43"/>
              <w:jc w:val="start"/>
              <w:rPr/>
            </w:pPr>
            <w:r>
              <w:rPr/>
              <w:t>benchmark policy choice</w:t>
            </w:r>
          </w:p>
        </w:tc>
        <w:tc>
          <w:tcPr>
            <w:tcW w:w="3600" w:type="dxa"/>
            <w:tcBorders>
              <w:bottom w:val="single" w:sz="2" w:space="0" w:color="CCCCCC"/>
            </w:tcBorders>
          </w:tcPr>
          <w:p>
            <w:pPr>
              <w:pStyle w:val="CompactTableText"/>
              <w:bidi w:val="0"/>
              <w:spacing w:lineRule="auto" w:line="264" w:before="0" w:after="43"/>
              <w:jc w:val="start"/>
              <w:rPr/>
            </w:pPr>
            <w:r>
              <w:rPr/>
              <w:t>Bounded solve workload</w:t>
            </w:r>
          </w:p>
        </w:tc>
      </w:tr>
      <w:tr>
        <w:trPr/>
        <w:tc>
          <w:tcPr>
            <w:tcW w:w="2160" w:type="dxa"/>
            <w:tcBorders>
              <w:bottom w:val="single" w:sz="2" w:space="0" w:color="CCCCCC"/>
            </w:tcBorders>
          </w:tcPr>
          <w:p>
            <w:pPr>
              <w:pStyle w:val="CompactTableText"/>
              <w:bidi w:val="0"/>
              <w:spacing w:lineRule="auto" w:line="264" w:before="0" w:after="43"/>
              <w:jc w:val="start"/>
              <w:rPr/>
            </w:pPr>
            <w:r>
              <w:rPr/>
              <w:t>J11: Line-search step maximum</w:t>
            </w:r>
          </w:p>
        </w:tc>
        <w:tc>
          <w:tcPr>
            <w:tcW w:w="3600" w:type="dxa"/>
            <w:tcBorders>
              <w:bottom w:val="single" w:sz="2" w:space="0" w:color="CCCCCC"/>
            </w:tcBorders>
          </w:tcPr>
          <w:p>
            <w:pPr>
              <w:pStyle w:val="CompactTableText"/>
              <w:bidi w:val="0"/>
              <w:spacing w:lineRule="auto" w:line="264" w:before="0" w:after="43"/>
              <w:jc w:val="start"/>
              <w:rPr/>
            </w:pPr>
            <w:r>
              <w:rPr/>
              <w:t>40 steps; numerical implementation</w:t>
            </w:r>
          </w:p>
        </w:tc>
        <w:tc>
          <w:tcPr>
            <w:tcW w:w="3600" w:type="dxa"/>
            <w:tcBorders>
              <w:bottom w:val="single" w:sz="2" w:space="0" w:color="CCCCCC"/>
            </w:tcBorders>
          </w:tcPr>
          <w:p>
            <w:pPr>
              <w:pStyle w:val="CompactTableText"/>
              <w:bidi w:val="0"/>
              <w:spacing w:lineRule="auto" w:line="264" w:before="0" w:after="43"/>
              <w:jc w:val="start"/>
              <w:rPr/>
            </w:pPr>
            <w:r>
              <w:rPr/>
              <w:t>benchmark policy choice</w:t>
            </w:r>
          </w:p>
        </w:tc>
        <w:tc>
          <w:tcPr>
            <w:tcW w:w="3600" w:type="dxa"/>
            <w:tcBorders>
              <w:bottom w:val="single" w:sz="2" w:space="0" w:color="CCCCCC"/>
            </w:tcBorders>
          </w:tcPr>
          <w:p>
            <w:pPr>
              <w:pStyle w:val="CompactTableText"/>
              <w:bidi w:val="0"/>
              <w:spacing w:lineRule="auto" w:line="264" w:before="0" w:after="43"/>
              <w:jc w:val="start"/>
              <w:rPr/>
            </w:pPr>
            <w:r>
              <w:rPr/>
              <w:t>Bounded numerical line search</w:t>
            </w:r>
          </w:p>
        </w:tc>
      </w:tr>
      <w:tr>
        <w:trPr/>
        <w:tc>
          <w:tcPr>
            <w:tcW w:w="2160" w:type="dxa"/>
            <w:tcBorders>
              <w:bottom w:val="single" w:sz="2" w:space="0" w:color="CCCCCC"/>
            </w:tcBorders>
          </w:tcPr>
          <w:p>
            <w:pPr>
              <w:pStyle w:val="CompactTableText"/>
              <w:bidi w:val="0"/>
              <w:spacing w:lineRule="auto" w:line="264" w:before="0" w:after="43"/>
              <w:jc w:val="start"/>
              <w:rPr/>
            </w:pPr>
            <w:r>
              <w:rPr/>
              <w:t>S21: Accepted method names</w:t>
            </w:r>
          </w:p>
        </w:tc>
        <w:tc>
          <w:tcPr>
            <w:tcW w:w="3600" w:type="dxa"/>
            <w:tcBorders>
              <w:bottom w:val="single" w:sz="2" w:space="0" w:color="CCCCCC"/>
            </w:tcBorders>
          </w:tcPr>
          <w:p>
            <w:pPr>
              <w:pStyle w:val="CompactTableText"/>
              <w:bidi w:val="0"/>
              <w:spacing w:lineRule="auto" w:line="264" w:before="0" w:after="43"/>
              <w:jc w:val="start"/>
              <w:rPr/>
            </w:pPr>
            <w:r>
              <w:rPr/>
              <w:t>plastic_scraper;solvent;abrasive_disc;thread_brush enum; active benchmark</w:t>
            </w:r>
          </w:p>
        </w:tc>
        <w:tc>
          <w:tcPr>
            <w:tcW w:w="3600" w:type="dxa"/>
            <w:tcBorders>
              <w:bottom w:val="single" w:sz="2" w:space="0" w:color="CCCCCC"/>
            </w:tcBorders>
          </w:tcPr>
          <w:p>
            <w:pPr>
              <w:pStyle w:val="CompactTableText"/>
              <w:bidi w:val="0"/>
              <w:spacing w:lineRule="auto" w:line="264" w:before="0" w:after="43"/>
              <w:jc w:val="start"/>
              <w:rPr/>
            </w:pPr>
            <w:r>
              <w:rPr/>
              <w:t>benchmark policy choice; S4; plastic low-angle preparation; avoid abrasive damage; Surface preparation guidance</w:t>
            </w:r>
          </w:p>
        </w:tc>
        <w:tc>
          <w:tcPr>
            <w:tcW w:w="3600" w:type="dxa"/>
            <w:tcBorders>
              <w:bottom w:val="single" w:sz="2" w:space="0" w:color="CCCCCC"/>
            </w:tcBorders>
          </w:tcPr>
          <w:p>
            <w:pPr>
              <w:pStyle w:val="CompactTableText"/>
              <w:bidi w:val="0"/>
              <w:spacing w:lineRule="auto" w:line="264" w:before="0" w:after="43"/>
              <w:jc w:val="start"/>
              <w:rPr/>
            </w:pPr>
            <w:r>
              <w:rPr/>
              <w:t>Software action domain includes good and adverse actions Acceptance by the interface does not make every method correct; removed fasteners require thread_brush.</w:t>
            </w:r>
          </w:p>
        </w:tc>
      </w:tr>
      <w:tr>
        <w:trPr/>
        <w:tc>
          <w:tcPr>
            <w:tcW w:w="2160" w:type="dxa"/>
            <w:tcBorders>
              <w:bottom w:val="single" w:sz="2" w:space="0" w:color="CCCCCC"/>
            </w:tcBorders>
          </w:tcPr>
          <w:p>
            <w:pPr>
              <w:pStyle w:val="CompactTableText"/>
              <w:bidi w:val="0"/>
              <w:spacing w:lineRule="auto" w:line="264" w:before="0" w:after="43"/>
              <w:jc w:val="start"/>
              <w:rPr/>
            </w:pPr>
            <w:r>
              <w:rPr/>
              <w:t>J12: Loading-mode name</w:t>
            </w:r>
          </w:p>
        </w:tc>
        <w:tc>
          <w:tcPr>
            <w:tcW w:w="3600" w:type="dxa"/>
            <w:tcBorders>
              <w:bottom w:val="single" w:sz="2" w:space="0" w:color="CCCCCC"/>
            </w:tcBorders>
          </w:tcPr>
          <w:p>
            <w:pPr>
              <w:pStyle w:val="CompactTableText"/>
              <w:bidi w:val="0"/>
              <w:spacing w:lineRule="auto" w:line="264" w:before="0" w:after="43"/>
              <w:jc w:val="start"/>
              <w:rPr/>
            </w:pPr>
            <w:r>
              <w:rPr/>
              <w:t>native-calibrated enum; supplemental estimate</w:t>
            </w:r>
          </w:p>
        </w:tc>
        <w:tc>
          <w:tcPr>
            <w:tcW w:w="3600" w:type="dxa"/>
            <w:tcBorders>
              <w:bottom w:val="single" w:sz="2" w:space="0" w:color="CCCCCC"/>
            </w:tcBorders>
          </w:tcPr>
          <w:p>
            <w:pPr>
              <w:pStyle w:val="CompactTableText"/>
              <w:bidi w:val="0"/>
              <w:spacing w:lineRule="auto" w:line="264" w:before="0" w:after="43"/>
              <w:jc w:val="start"/>
              <w:rPr/>
            </w:pPr>
            <w:r>
              <w:rPr/>
              <w:t>benchmark policy choice</w:t>
            </w:r>
          </w:p>
        </w:tc>
        <w:tc>
          <w:tcPr>
            <w:tcW w:w="3600" w:type="dxa"/>
            <w:tcBorders>
              <w:bottom w:val="single" w:sz="2" w:space="0" w:color="CCCCCC"/>
            </w:tcBorders>
          </w:tcPr>
          <w:p>
            <w:pPr>
              <w:pStyle w:val="CompactTableText"/>
              <w:bidi w:val="0"/>
              <w:spacing w:lineRule="auto" w:line="264" w:before="0" w:after="43"/>
              <w:jc w:val="start"/>
              <w:rPr/>
            </w:pPr>
            <w:r>
              <w:rPr/>
              <w:t>Select inherited authored component contact law The name refers to component-model calibration, not measured selected stock or factory qualification.</w:t>
            </w:r>
          </w:p>
        </w:tc>
      </w:tr>
    </w:tbl>
    <w:p>
      <w:pPr>
        <w:pStyle w:val="LandscapeFigureHeading"/>
        <w:bidi w:val="0"/>
        <w:jc w:val="start"/>
        <w:rPr/>
      </w:pPr>
      <w:r>
        <w:rPr/>
        <w:t>Appendix C. Engineering specifications — J13 to C11</w:t>
      </w:r>
    </w:p>
    <w:p>
      <w:pPr>
        <w:pStyle w:val="TableCaption"/>
        <w:keepNext w:val="true"/>
        <w:bidi w:val="0"/>
        <w:jc w:val="start"/>
        <w:rPr/>
      </w:pPr>
      <w:r>
        <w:rPr/>
        <w:t>Table 30. Appendix C. Engineering specifications — J13 to C11</w:t>
      </w:r>
    </w:p>
    <w:tbl>
      <w:tblPr>
        <w:tblW w:w="12960" w:type="dxa"/>
        <w:jc w:val="start"/>
        <w:tblInd w:w="0" w:type="dxa"/>
        <w:tblLayout w:type="fixed"/>
        <w:tblCellMar>
          <w:top w:w="58" w:type="dxa"/>
          <w:start w:w="58" w:type="dxa"/>
          <w:bottom w:w="58" w:type="dxa"/>
          <w:end w:w="58" w:type="dxa"/>
        </w:tblCellMar>
      </w:tblPr>
      <w:tblGrid>
        <w:gridCol w:w="2160"/>
        <w:gridCol w:w="3600"/>
        <w:gridCol w:w="3600"/>
        <w:gridCol w:w="3600"/>
      </w:tblGrid>
      <w:tr>
        <w:trPr/>
        <w:tc>
          <w:tcPr>
            <w:tcW w:w="2160" w:type="dxa"/>
            <w:tcBorders>
              <w:bottom w:val="single" w:sz="2" w:space="0" w:color="CCCCCC"/>
            </w:tcBorders>
          </w:tcPr>
          <w:p>
            <w:pPr>
              <w:pStyle w:val="CompactTableText"/>
              <w:bidi w:val="0"/>
              <w:spacing w:lineRule="auto" w:line="264" w:before="0" w:after="43"/>
              <w:jc w:val="start"/>
              <w:rPr/>
            </w:pPr>
            <w:r>
              <w:rPr>
                <w:rStyle w:val="Tb"/>
              </w:rPr>
              <w:t>Specification</w:t>
            </w:r>
          </w:p>
        </w:tc>
        <w:tc>
          <w:tcPr>
            <w:tcW w:w="3600" w:type="dxa"/>
            <w:tcBorders>
              <w:bottom w:val="single" w:sz="2" w:space="0" w:color="CCCCCC"/>
            </w:tcBorders>
          </w:tcPr>
          <w:p>
            <w:pPr>
              <w:pStyle w:val="CompactTableText"/>
              <w:bidi w:val="0"/>
              <w:spacing w:lineRule="auto" w:line="264" w:before="0" w:after="43"/>
              <w:jc w:val="start"/>
              <w:rPr/>
            </w:pPr>
            <w:r>
              <w:rPr>
                <w:rStyle w:val="Tb"/>
              </w:rPr>
              <w:t>Benchmark value and scope</w:t>
            </w:r>
          </w:p>
        </w:tc>
        <w:tc>
          <w:tcPr>
            <w:tcW w:w="3600" w:type="dxa"/>
            <w:tcBorders>
              <w:bottom w:val="single" w:sz="2" w:space="0" w:color="CCCCCC"/>
            </w:tcBorders>
          </w:tcPr>
          <w:p>
            <w:pPr>
              <w:pStyle w:val="CompactTableText"/>
              <w:bidi w:val="0"/>
              <w:spacing w:lineRule="auto" w:line="264" w:before="0" w:after="43"/>
              <w:jc w:val="start"/>
              <w:rPr/>
            </w:pPr>
            <w:r>
              <w:rPr>
                <w:rStyle w:val="Tb"/>
              </w:rPr>
              <w:t>Basis and public-source value</w:t>
            </w:r>
          </w:p>
        </w:tc>
        <w:tc>
          <w:tcPr>
            <w:tcW w:w="3600" w:type="dxa"/>
            <w:tcBorders>
              <w:bottom w:val="single" w:sz="2" w:space="0" w:color="CCCCCC"/>
            </w:tcBorders>
          </w:tcPr>
          <w:p>
            <w:pPr>
              <w:pStyle w:val="CompactTableText"/>
              <w:bidi w:val="0"/>
              <w:spacing w:lineRule="auto" w:line="264" w:before="0" w:after="43"/>
              <w:jc w:val="start"/>
              <w:rPr/>
            </w:pPr>
            <w:r>
              <w:rPr>
                <w:rStyle w:val="Tb"/>
              </w:rPr>
              <w:t>Selection and disagreement or limit</w:t>
            </w:r>
          </w:p>
        </w:tc>
      </w:tr>
      <w:tr>
        <w:trPr/>
        <w:tc>
          <w:tcPr>
            <w:tcW w:w="2160" w:type="dxa"/>
            <w:tcBorders>
              <w:bottom w:val="single" w:sz="2" w:space="0" w:color="CCCCCC"/>
            </w:tcBorders>
          </w:tcPr>
          <w:p>
            <w:pPr>
              <w:pStyle w:val="CompactTableText"/>
              <w:bidi w:val="0"/>
              <w:spacing w:lineRule="auto" w:line="264" w:before="0" w:after="43"/>
              <w:jc w:val="start"/>
              <w:rPr/>
            </w:pPr>
            <w:r>
              <w:rPr/>
              <w:t>J13: Environment to model position map</w:t>
            </w:r>
          </w:p>
        </w:tc>
        <w:tc>
          <w:tcPr>
            <w:tcW w:w="3600" w:type="dxa"/>
            <w:tcBorders>
              <w:bottom w:val="single" w:sz="2" w:space="0" w:color="CCCCCC"/>
            </w:tcBorders>
          </w:tcPr>
          <w:p>
            <w:pPr>
              <w:pStyle w:val="CompactTableText"/>
              <w:bidi w:val="0"/>
              <w:spacing w:lineRule="auto" w:line="264" w:before="0" w:after="43"/>
              <w:jc w:val="start"/>
              <w:rPr/>
            </w:pPr>
            <w:r>
              <w:rPr/>
              <w:t>hb01..hb10 to bolt_01..bolt_10 by matching ordinal ten explicit bindings; supplemental estimate</w:t>
            </w:r>
          </w:p>
        </w:tc>
        <w:tc>
          <w:tcPr>
            <w:tcW w:w="3600" w:type="dxa"/>
            <w:tcBorders>
              <w:bottom w:val="single" w:sz="2" w:space="0" w:color="CCCCCC"/>
            </w:tcBorders>
          </w:tcPr>
          <w:p>
            <w:pPr>
              <w:pStyle w:val="CompactTableText"/>
              <w:bidi w:val="0"/>
              <w:spacing w:lineRule="auto" w:line="264" w:before="0" w:after="43"/>
              <w:jc w:val="start"/>
              <w:rPr/>
            </w:pPr>
            <w:r>
              <w:rPr/>
              <w:t>benchmark policy choice</w:t>
            </w:r>
          </w:p>
        </w:tc>
        <w:tc>
          <w:tcPr>
            <w:tcW w:w="3600" w:type="dxa"/>
            <w:tcBorders>
              <w:bottom w:val="single" w:sz="2" w:space="0" w:color="CCCCCC"/>
            </w:tcBorders>
          </w:tcPr>
          <w:p>
            <w:pPr>
              <w:pStyle w:val="CompactTableText"/>
              <w:bidi w:val="0"/>
              <w:spacing w:lineRule="auto" w:line="264" w:before="0" w:after="43"/>
              <w:jc w:val="start"/>
              <w:rPr/>
            </w:pPr>
            <w:r>
              <w:rPr/>
              <w:t>Declared correspondence of retained source body identities Replacement physical identities remain distinct from fixed service positions.</w:t>
            </w:r>
          </w:p>
        </w:tc>
      </w:tr>
      <w:tr>
        <w:trPr/>
        <w:tc>
          <w:tcPr>
            <w:tcW w:w="2160" w:type="dxa"/>
            <w:tcBorders>
              <w:bottom w:val="single" w:sz="2" w:space="0" w:color="CCCCCC"/>
            </w:tcBorders>
          </w:tcPr>
          <w:p>
            <w:pPr>
              <w:pStyle w:val="CompactTableText"/>
              <w:bidi w:val="0"/>
              <w:spacing w:lineRule="auto" w:line="264" w:before="0" w:after="43"/>
              <w:jc w:val="start"/>
              <w:rPr/>
            </w:pPr>
            <w:r>
              <w:rPr/>
              <w:t>H24: Accepted CP04 loosening sequences</w:t>
            </w:r>
          </w:p>
        </w:tc>
        <w:tc>
          <w:tcPr>
            <w:tcW w:w="3600" w:type="dxa"/>
            <w:tcBorders>
              <w:bottom w:val="single" w:sz="2" w:space="0" w:color="CCCCCC"/>
            </w:tcBorders>
          </w:tcPr>
          <w:p>
            <w:pPr>
              <w:pStyle w:val="CompactTableText"/>
              <w:bidi w:val="0"/>
              <w:spacing w:lineRule="auto" w:line="264" w:before="0" w:after="43"/>
              <w:jc w:val="start"/>
              <w:rPr/>
            </w:pPr>
            <w:r>
              <w:rPr/>
              <w:t>10,9,8,7,6,3,4,5,2,1 OR 10,9,8,7,6,5,4,3,2,1 position sequence; current signed benchmark acceptance</w:t>
            </w:r>
          </w:p>
        </w:tc>
        <w:tc>
          <w:tcPr>
            <w:tcW w:w="3600" w:type="dxa"/>
            <w:tcBorders>
              <w:bottom w:val="single" w:sz="2" w:space="0" w:color="CCCCCC"/>
            </w:tcBorders>
          </w:tcPr>
          <w:p>
            <w:pPr>
              <w:pStyle w:val="CompactTableText"/>
              <w:bidi w:val="0"/>
              <w:spacing w:lineRule="auto" w:line="264" w:before="0" w:after="43"/>
              <w:jc w:val="start"/>
              <w:rPr/>
            </w:pPr>
            <w:r>
              <w:rPr/>
              <w:t>benchmark policy choice; M|S1; M printed diagram and S1 exact reverse prose differ; M 6-30 mapped through6-54; S1 printed page16</w:t>
            </w:r>
          </w:p>
        </w:tc>
        <w:tc>
          <w:tcPr>
            <w:tcW w:w="3600" w:type="dxa"/>
            <w:tcBorders>
              <w:bottom w:val="single" w:sz="2" w:space="0" w:color="CCCCCC"/>
            </w:tcBorders>
          </w:tcPr>
          <w:p>
            <w:pPr>
              <w:pStyle w:val="CompactTableText"/>
              <w:bidi w:val="0"/>
              <w:spacing w:lineRule="auto" w:line="264" w:before="0" w:after="43"/>
              <w:jc w:val="start"/>
              <w:rPr/>
            </w:pPr>
            <w:r>
              <w:rPr/>
              <w:t>Amendment 1 accepts either documented sequence because public instructions disagree Source amendment and runtime implementation are separate epochs; old recorded commands are unchanged.</w:t>
            </w:r>
          </w:p>
        </w:tc>
      </w:tr>
      <w:tr>
        <w:trPr/>
        <w:tc>
          <w:tcPr>
            <w:tcW w:w="2160" w:type="dxa"/>
            <w:tcBorders>
              <w:bottom w:val="single" w:sz="2" w:space="0" w:color="CCCCCC"/>
            </w:tcBorders>
          </w:tcPr>
          <w:p>
            <w:pPr>
              <w:pStyle w:val="CompactTableText"/>
              <w:bidi w:val="0"/>
              <w:spacing w:lineRule="auto" w:line="264" w:before="0" w:after="43"/>
              <w:jc w:val="start"/>
              <w:rPr/>
            </w:pPr>
            <w:r>
              <w:rPr/>
              <w:t>C11: Accepted CP12 cover-gasket condition</w:t>
            </w:r>
          </w:p>
        </w:tc>
        <w:tc>
          <w:tcPr>
            <w:tcW w:w="3600" w:type="dxa"/>
            <w:tcBorders>
              <w:bottom w:val="single" w:sz="2" w:space="0" w:color="CCCCCC"/>
            </w:tcBorders>
          </w:tcPr>
          <w:p>
            <w:pPr>
              <w:pStyle w:val="CompactTableText"/>
              <w:bidi w:val="0"/>
              <w:spacing w:lineRule="auto" w:line="264" w:before="0" w:after="43"/>
              <w:jc w:val="start"/>
              <w:rPr/>
            </w:pPr>
            <w:r>
              <w:rPr/>
              <w:t>new OR original inspected and refitted with specified sealant criterion; current signed benchmark acceptance</w:t>
            </w:r>
          </w:p>
        </w:tc>
        <w:tc>
          <w:tcPr>
            <w:tcW w:w="3600" w:type="dxa"/>
            <w:tcBorders>
              <w:bottom w:val="single" w:sz="2" w:space="0" w:color="CCCCCC"/>
            </w:tcBorders>
          </w:tcPr>
          <w:p>
            <w:pPr>
              <w:pStyle w:val="CompactTableText"/>
              <w:bidi w:val="0"/>
              <w:spacing w:lineRule="auto" w:line="264" w:before="0" w:after="43"/>
              <w:jc w:val="start"/>
              <w:rPr/>
            </w:pPr>
            <w:r>
              <w:rPr/>
              <w:t>benchmark policy choice; M|S1; Inspect gasket condition; local oil and sealant treatment; M 6-55 step12 and application note; S1 printed page17</w:t>
            </w:r>
          </w:p>
        </w:tc>
        <w:tc>
          <w:tcPr>
            <w:tcW w:w="3600" w:type="dxa"/>
            <w:tcBorders>
              <w:bottom w:val="single" w:sz="2" w:space="0" w:color="CCCCCC"/>
            </w:tcBorders>
          </w:tcPr>
          <w:p>
            <w:pPr>
              <w:pStyle w:val="CompactTableText"/>
              <w:bidi w:val="0"/>
              <w:spacing w:lineRule="auto" w:line="264" w:before="0" w:after="43"/>
              <w:jc w:val="start"/>
              <w:rPr/>
            </w:pPr>
            <w:r>
              <w:rPr/>
              <w:t>Amendment 1 withdraws mandatory new cover gasket while retaining mandatory new head gasket Runtime/scorer adoption must be checked at its new source epoch; no historical run is relabeled.</w:t>
            </w:r>
          </w:p>
        </w:tc>
      </w:tr>
    </w:tbl>
    <w:p>
      <w:pPr>
        <w:sectPr>
          <w:type w:val="nextPage"/>
          <w:pgSz w:orient="landscape" w:w="15840" w:h="12240"/>
          <w:pgMar w:left="1440" w:right="1440" w:gutter="0" w:header="0" w:top="1440" w:footer="0" w:bottom="1440"/>
          <w:pgNumType w:fmt="decimal"/>
          <w:formProt w:val="false"/>
          <w:textDirection w:val="lrTb"/>
          <w:docGrid w:type="default" w:linePitch="600" w:charSpace="32768"/>
        </w:sectPr>
      </w:pPr>
    </w:p>
    <w:p>
      <w:pPr>
        <w:pStyle w:val="PortraitReturnHeading"/>
        <w:bidi w:val="0"/>
        <w:jc w:val="start"/>
        <w:rPr/>
      </w:pPr>
      <w:r>
        <w:rPr/>
        <w:t>Appendix D. Agent details and harness disclosure</w:t>
      </w:r>
    </w:p>
    <w:p>
      <w:pPr>
        <w:pStyle w:val="Plain"/>
        <w:bidi w:val="0"/>
        <w:spacing w:lineRule="exact" w:line="365"/>
        <w:jc w:val="start"/>
        <w:rPr/>
      </w:pPr>
      <w:r>
        <w:rPr/>
        <w:t>The collector must restrict the agent to the environment MCP interface and record the full prompt, tool schema, requested model, returned model and execution configuration. Session state and credentials must be isolated from unrelated work. The public report does not disclose account identifiers.</w:t>
      </w:r>
    </w:p>
    <w:p>
      <w:pPr>
        <w:pStyle w:val="Plain"/>
        <w:bidi w:val="0"/>
        <w:spacing w:lineRule="exact" w:line="365"/>
        <w:jc w:val="start"/>
        <w:rPr/>
      </w:pPr>
      <w:r>
        <w:rPr/>
        <w:t>The recorded historical collector includes wrapper and process-recovery evidence. A successful owned-process cleanup test does not prove current model identity, account isolation or production lifecycle behavior. These require tests against the exact collector used for study runs.</w:t>
      </w:r>
    </w:p>
    <w:p>
      <w:pPr>
        <w:pStyle w:val="Plain"/>
        <w:bidi w:val="0"/>
        <w:spacing w:lineRule="exact" w:line="365"/>
        <w:jc w:val="start"/>
        <w:rPr/>
      </w:pPr>
      <w:r>
        <w:rPr/>
        <w:t>Record model calls, tool attempts, successful tool actions, prompt and completion tokens, cache accounting if available, wall-clock start and end, retry events and termination reason. If a field cannot be obtained, report it as unavailable and explain the measurement boundary. Do not infer model calls from tool calls or price from subscription access.</w:t>
      </w:r>
    </w:p>
    <w:p>
      <w:pPr>
        <w:pStyle w:val="Plain"/>
        <w:bidi w:val="0"/>
        <w:spacing w:lineRule="exact" w:line="365"/>
        <w:jc w:val="start"/>
        <w:rPr/>
      </w:pPr>
      <w:r>
        <w:rPr/>
        <w:t>Keep configuration and prompt versions alongside every attempt. Retries must retain their prior records. A failure to execute the apparatus is distinct from an agent choosing an incorrect action. Neither a cleanup failure nor a partial response should erase the evidence already collected.</w:t>
      </w:r>
    </w:p>
    <w:p>
      <w:pPr>
        <w:pStyle w:val="Plain"/>
        <w:bidi w:val="0"/>
        <w:spacing w:lineRule="exact" w:line="365"/>
        <w:jc w:val="start"/>
        <w:rPr/>
      </w:pPr>
      <w:r>
        <w:rPr/>
        <w:t>The agent record should distinguish actions, observations and middleware behavior. Document any automatic retries, preprocessing, state recovery or submission logic, so readers can tell which decisions the model made. Store model-call counts separately from tool-call counts, and preserve prompt and completion tokens, dated prices and elapsed time when those measurements are available. Missing telemetry must remain unavailable rather than being inferred from action counts [5] [6].</w:t>
      </w:r>
    </w:p>
    <w:p>
      <w:pPr>
        <w:pStyle w:val="Plain"/>
        <w:bidi w:val="0"/>
        <w:spacing w:lineRule="exact" w:line="365"/>
        <w:jc w:val="start"/>
        <w:rPr/>
      </w:pPr>
      <w:r>
        <w:rPr/>
        <w:t>GPT-6-Luna's finish-action response exceeded the collector's message size limit and was not captured; the game state at its finish action is reported.</w:t>
      </w:r>
    </w:p>
    <w:p>
      <w:pPr>
        <w:pStyle w:val="AppendixHeading"/>
        <w:keepNext w:val="true"/>
        <w:bidi w:val="0"/>
        <w:spacing w:before="0" w:after="216"/>
        <w:jc w:val="start"/>
        <w:rPr/>
      </w:pPr>
      <w:r>
        <w:rPr/>
        <w:t>Appendix E. Evaluation protocol</w:t>
      </w:r>
    </w:p>
    <w:p>
      <w:pPr>
        <w:pStyle w:val="Plain"/>
        <w:bidi w:val="0"/>
        <w:spacing w:lineRule="exact" w:line="365"/>
        <w:jc w:val="start"/>
        <w:rPr/>
      </w:pPr>
      <w:r>
        <w:rPr/>
        <w:t>This condensed protocol governs the proposed comparison. The complete historical form and a field-by-field amendment mapping accompany the report. The present design replaces earlier survival endpoints, factorial settings and judge-based scoring; historical records are retained without making them current requirements.</w:t>
      </w:r>
    </w:p>
    <w:p>
      <w:pPr>
        <w:pStyle w:val="ProtocolEntry"/>
        <w:keepLines/>
        <w:bidi w:val="0"/>
        <w:jc w:val="start"/>
        <w:rPr/>
      </w:pPr>
      <w:r>
        <w:rPr>
          <w:rStyle w:val="Tb"/>
        </w:rPr>
        <w:t>Study design and approval</w:t>
      </w:r>
      <w:r>
        <w:rPr/>
        <w:t xml:space="preserve"> The dated study design governs the repair benchmark. Record the approved questions, collection scope and amendments before examining outcomes. Collection beyond the exploratory allowance requires the owner's approval. Preserve excluded and superseded records, record changes and document the authority for publication.</w:t>
      </w:r>
    </w:p>
    <w:p>
      <w:pPr>
        <w:pStyle w:val="ProtocolEntry"/>
        <w:keepLines/>
        <w:bidi w:val="0"/>
        <w:jc w:val="start"/>
        <w:rPr/>
      </w:pPr>
      <w:r>
        <w:rPr>
          <w:rStyle w:val="Tb"/>
        </w:rPr>
        <w:t>Task definitions and versions</w:t>
      </w:r>
      <w:r>
        <w:rPr/>
        <w:t xml:space="preserve"> Fix the task variants, checkpoint definitions, weights, prompts and evaluator versions before agent collection. Screen each task against the correct reference procedure and review any ambiguous interpretation. Retain earlier versions separately and record the reason for every later change.</w:t>
      </w:r>
    </w:p>
    <w:p>
      <w:pPr>
        <w:pStyle w:val="ProtocolEntry"/>
        <w:keepLines/>
        <w:bidi w:val="0"/>
        <w:jc w:val="start"/>
        <w:rPr/>
      </w:pPr>
      <w:r>
        <w:rPr>
          <w:rStyle w:val="Tb"/>
        </w:rPr>
        <w:t>Collection environment and validation</w:t>
      </w:r>
      <w:r>
        <w:rPr/>
        <w:t xml:space="preserve"> Describe the collection environment, permitted tools, launch method, configuration and isolation checks. Specify validation frequency, scope and method before collection. Complete the applicable preflight and retain validation evidence for each batch. Tool-interface tests, operating-system isolation and provider qualification are separate checks; earlier fixtures do not establish the selected collection environment.</w:t>
      </w:r>
    </w:p>
    <w:p>
      <w:pPr>
        <w:pStyle w:val="ProtocolEntry"/>
        <w:keepLines/>
        <w:bidi w:val="0"/>
        <w:jc w:val="start"/>
        <w:rPr/>
      </w:pPr>
      <w:r>
        <w:rPr>
          <w:rStyle w:val="Tb"/>
        </w:rPr>
        <w:t>Agent settings and telemetry</w:t>
      </w:r>
      <w:r>
        <w:rPr/>
        <w:t xml:space="preserve"> Record requested and returned model identities, collection surface, prompts, resource limits and supported decoding settings. Preserve commands, diagnostics and revisions. Steps counts model calls; tool calls and interface turns are separate measures. Unavailable identity or usage fields remain unknown.</w:t>
      </w:r>
    </w:p>
    <w:p>
      <w:pPr>
        <w:pStyle w:val="ProtocolEntry"/>
        <w:keepLines/>
        <w:bidi w:val="0"/>
        <w:jc w:val="start"/>
        <w:rPr/>
      </w:pPr>
      <w:r>
        <w:rPr>
          <w:rStyle w:val="Tb"/>
        </w:rPr>
        <w:t>Execution order and resources</w:t>
      </w:r>
      <w:r>
        <w:rPr/>
        <w:t xml:space="preserve"> State funding, execution order, concurrency and retry scheduling. Give each attempt a unique identity, prevent duplicate starts and record scheduling changes after errors. Historical defaults are not the new approved collection plan. Report subscription use separately from token-based API-equivalent cost.</w:t>
      </w:r>
    </w:p>
    <w:p>
      <w:pPr>
        <w:pStyle w:val="ProtocolEntry"/>
        <w:keepLines/>
        <w:bidi w:val="0"/>
        <w:jc w:val="start"/>
        <w:rPr/>
      </w:pPr>
      <w:r>
        <w:rPr>
          <w:rStyle w:val="Tb"/>
        </w:rPr>
        <w:t>Variants and sample allocation</w:t>
      </w:r>
      <w:r>
        <w:rPr/>
        <w:t xml:space="preserve"> Specify the model-by-variant allocation, exploratory allowance, repeats and completion target before collection. The proposed variants remain draft until their definitions and implementations are validated. Retain charged attempts in the accounting, and obtain approval before expanding the full collection matrix.</w:t>
      </w:r>
    </w:p>
    <w:p>
      <w:pPr>
        <w:pStyle w:val="ProtocolEntry"/>
        <w:keepLines/>
        <w:bidi w:val="0"/>
        <w:jc w:val="start"/>
        <w:rPr/>
      </w:pPr>
      <w:r>
        <w:rPr>
          <w:rStyle w:val="Tb"/>
        </w:rPr>
        <w:t>Interrupted attempts and retries</w:t>
      </w:r>
      <w:r>
        <w:rPr/>
        <w:t xml:space="preserve"> Retain every attempt, including interruptions, provider failures and refusals. Classify model outcomes separately from apparatus failures. Fix inclusion, retry and response-selection rules, deduplicate responses and reconcile batch totals. Report observed checkpoint evidence and named unknowns for incomplete attempts; do not silently remove them from the report or assign missing observations a zero score.</w:t>
      </w:r>
    </w:p>
    <w:p>
      <w:pPr>
        <w:pStyle w:val="ProtocolEntry"/>
        <w:keepLines/>
        <w:bidi w:val="0"/>
        <w:jc w:val="start"/>
        <w:rPr/>
      </w:pPr>
      <w:r>
        <w:rPr>
          <w:rStyle w:val="Tb"/>
        </w:rPr>
        <w:t>Reference procedure and extraction</w:t>
      </w:r>
      <w:r>
        <w:rPr/>
        <w:t xml:space="preserve"> Fix reference inputs and extraction rules, and use unique run identifiers. Validate checkpoint decisions against the correct scripted procedure and targeted defective jobs, with independently reviewed final state and action histories. Record timeouts, completion evidence and evaluator revisions. The correct reference must pass every applicable checkpoint; this requirement is separate from an observed validation result.</w:t>
      </w:r>
    </w:p>
    <w:p>
      <w:pPr>
        <w:pStyle w:val="ProtocolEntry"/>
        <w:keepLines/>
        <w:bidi w:val="0"/>
        <w:jc w:val="start"/>
        <w:rPr/>
      </w:pPr>
      <w:r>
        <w:rPr>
          <w:rStyle w:val="Tb"/>
        </w:rPr>
        <w:t>Ambiguity and refusal</w:t>
      </w:r>
      <w:r>
        <w:rPr/>
        <w:t xml:space="preserve"> Distinguish an agent refusal, a clarification request, an unsupported task and a collection failure. State the classification rule and preserve the original response. An unresolved apparatus specification is not automatically an agent mistake. Omitting a required agent action under a valid fixed reference can fail its checkpoint.</w:t>
      </w:r>
    </w:p>
    <w:p>
      <w:pPr>
        <w:pStyle w:val="ProtocolEntry"/>
        <w:keepLines/>
        <w:bidi w:val="0"/>
        <w:jc w:val="start"/>
        <w:rPr/>
      </w:pPr>
      <w:r>
        <w:rPr>
          <w:rStyle w:val="Tb"/>
        </w:rPr>
        <w:t>Scoring and uncertainty</w:t>
      </w:r>
      <w:r>
        <w:rPr/>
        <w:t xml:space="preserve"> Use the template's full and partial completion measures. State the Success denominator and Wilson interval, and the bootstrap sampling unit for Score and technician time. Fix variant weighting, incomplete-attempt treatment and resampling settings before collection. Preserve dependence among checkpoints and bolts within a run. Earlier survival and factorial plans are superseded; exploratory checks do not establish general model rankings.</w:t>
      </w:r>
    </w:p>
    <w:p>
      <w:pPr>
        <w:pStyle w:val="ProtocolEntry"/>
        <w:keepLines/>
        <w:bidi w:val="0"/>
        <w:jc w:val="start"/>
        <w:rPr/>
      </w:pPr>
      <w:r>
        <w:rPr>
          <w:rStyle w:val="Tb"/>
        </w:rPr>
        <w:t>Reporting and deviations</w:t>
      </w:r>
      <w:r>
        <w:rPr/>
        <w:t xml:space="preserve"> Report counts through collection and analysis, separate exploratory and later cohorts, and explain deviations. Show model calls, tool calls, tokens and wall time separately. Report productive technician time, typed corrective penalties and the correct reference time, preserving the distinction between cited durations and estimates. Agent results remain pending collection; apparatus records are reported separately.</w:t>
      </w:r>
    </w:p>
    <w:p>
      <w:pPr>
        <w:pStyle w:val="ProtocolEntry"/>
        <w:keepLines/>
        <w:bidi w:val="0"/>
        <w:jc w:val="start"/>
        <w:rPr/>
      </w:pPr>
      <w:r>
        <w:rPr>
          <w:rStyle w:val="Tb"/>
        </w:rPr>
        <w:t>Evaluator review</w:t>
      </w:r>
      <w:r>
        <w:rPr/>
        <w:t xml:space="preserve"> This application uses deterministic checkpoint evaluators. Independently review their decisions against final state and chronological records under a stated manual-review plan. The earlier language-model judge threshold and independence settings do not apply to this task. The manual-review sample and selection rule must be specified rather than inferred from the historical form.</w:t>
      </w:r>
    </w:p>
    <w:p>
      <w:pPr>
        <w:pStyle w:val="SectionHeading"/>
        <w:keepNext w:val="true"/>
        <w:bidi w:val="0"/>
        <w:spacing w:before="288" w:after="144"/>
        <w:jc w:val="start"/>
        <w:rPr/>
      </w:pPr>
      <w:r>
        <w:rPr/>
        <w:t>Appendix E. Current exploratory collection status</w:t>
      </w:r>
    </w:p>
    <w:p>
      <w:pPr>
        <w:sectPr>
          <w:type w:val="nextPage"/>
          <w:pgSz w:w="12240" w:h="15840"/>
          <w:pgMar w:left="1440" w:right="1440" w:gutter="0" w:header="0" w:top="1440" w:footer="0" w:bottom="1440"/>
          <w:pgNumType w:fmt="decimal"/>
          <w:formProt w:val="false"/>
          <w:textDirection w:val="lrTb"/>
          <w:docGrid w:type="default" w:linePitch="600" w:charSpace="32768"/>
        </w:sectPr>
        <w:pStyle w:val="Plain"/>
        <w:bidi w:val="0"/>
        <w:spacing w:lineRule="exact" w:line="365"/>
        <w:jc w:val="start"/>
        <w:rPr/>
      </w:pPr>
      <w:r>
        <w:rPr/>
        <w:t>The protocol summary above preserves the reviewed precollection design. Exploratory repair observations are now reported separately in the results sections. The larger comparative collection and confirmatory analysis remain pending. These observations do not amend the historical form, remove review requirements or establish physical repair safety.</w:t>
      </w:r>
    </w:p>
    <w:p>
      <w:pPr>
        <w:pStyle w:val="LandscapeFigureHeading"/>
        <w:bidi w:val="0"/>
        <w:jc w:val="start"/>
        <w:rPr/>
      </w:pPr>
      <w:r>
        <w:rPr/>
        <w:t>Appendix F. Exploratory resources</w:t>
      </w:r>
    </w:p>
    <w:p>
      <w:pPr>
        <w:pStyle w:val="SourceCitation"/>
        <w:keepLines/>
        <w:bidi w:val="0"/>
        <w:spacing w:lineRule="auto" w:line="276" w:before="0" w:after="58"/>
        <w:jc w:val="start"/>
        <w:rPr/>
      </w:pPr>
      <w:r>
        <w:rPr/>
        <w:t>One exploratory attempt was observed for each requested model on the standard repair task. The model names identify the model; served model identity was not attested. The collector does not supply model-call Steps or a model-specific API price basis, so those cells remain unavailable. A stopped repair remains in the run count.</w:t>
      </w:r>
    </w:p>
    <w:p>
      <w:pPr>
        <w:pStyle w:val="TableCaption"/>
        <w:keepNext w:val="true"/>
        <w:bidi w:val="0"/>
        <w:jc w:val="start"/>
        <w:rPr/>
      </w:pPr>
      <w:r>
        <w:rPr/>
        <w:t>Table 31. Appendix F. Exploratory resources</w:t>
      </w:r>
    </w:p>
    <w:tbl>
      <w:tblPr>
        <w:tblW w:w="12960" w:type="dxa"/>
        <w:jc w:val="start"/>
        <w:tblInd w:w="0" w:type="dxa"/>
        <w:tblLayout w:type="fixed"/>
        <w:tblCellMar>
          <w:top w:w="58" w:type="dxa"/>
          <w:start w:w="58" w:type="dxa"/>
          <w:bottom w:w="58" w:type="dxa"/>
          <w:end w:w="58" w:type="dxa"/>
        </w:tblCellMar>
      </w:tblPr>
      <w:tblGrid>
        <w:gridCol w:w="2160"/>
        <w:gridCol w:w="2160"/>
        <w:gridCol w:w="2160"/>
        <w:gridCol w:w="2160"/>
        <w:gridCol w:w="2160"/>
        <w:gridCol w:w="2160"/>
      </w:tblGrid>
      <w:tr>
        <w:trPr/>
        <w:tc>
          <w:tcPr>
            <w:tcW w:w="2160" w:type="dxa"/>
            <w:tcBorders>
              <w:bottom w:val="single" w:sz="2" w:space="0" w:color="CCCCCC"/>
            </w:tcBorders>
          </w:tcPr>
          <w:p>
            <w:pPr>
              <w:pStyle w:val="Plain"/>
              <w:bidi w:val="0"/>
              <w:spacing w:lineRule="exact" w:line="365"/>
              <w:jc w:val="start"/>
              <w:rPr/>
            </w:pPr>
            <w:r>
              <w:rPr>
                <w:rStyle w:val="Tb"/>
              </w:rPr>
              <w:t>Model requested</w:t>
            </w:r>
          </w:p>
        </w:tc>
        <w:tc>
          <w:tcPr>
            <w:tcW w:w="2160" w:type="dxa"/>
            <w:tcBorders>
              <w:bottom w:val="single" w:sz="2" w:space="0" w:color="CCCCCC"/>
            </w:tcBorders>
          </w:tcPr>
          <w:p>
            <w:pPr>
              <w:pStyle w:val="Plain"/>
              <w:bidi w:val="0"/>
              <w:spacing w:lineRule="exact" w:line="365"/>
              <w:jc w:val="start"/>
              <w:rPr/>
            </w:pPr>
            <w:r>
              <w:rPr>
                <w:rStyle w:val="Tb"/>
              </w:rPr>
              <w:t>Tools attempted</w:t>
            </w:r>
          </w:p>
        </w:tc>
        <w:tc>
          <w:tcPr>
            <w:tcW w:w="2160" w:type="dxa"/>
            <w:tcBorders>
              <w:bottom w:val="single" w:sz="2" w:space="0" w:color="CCCCCC"/>
            </w:tcBorders>
          </w:tcPr>
          <w:p>
            <w:pPr>
              <w:pStyle w:val="Plain"/>
              <w:bidi w:val="0"/>
              <w:spacing w:lineRule="exact" w:line="365"/>
              <w:jc w:val="start"/>
              <w:rPr/>
            </w:pPr>
            <w:r>
              <w:rPr>
                <w:rStyle w:val="Tb"/>
              </w:rPr>
              <w:t>Productive s</w:t>
            </w:r>
          </w:p>
        </w:tc>
        <w:tc>
          <w:tcPr>
            <w:tcW w:w="2160" w:type="dxa"/>
            <w:tcBorders>
              <w:bottom w:val="single" w:sz="2" w:space="0" w:color="CCCCCC"/>
            </w:tcBorders>
          </w:tcPr>
          <w:p>
            <w:pPr>
              <w:pStyle w:val="Plain"/>
              <w:bidi w:val="0"/>
              <w:spacing w:lineRule="exact" w:line="365"/>
              <w:jc w:val="start"/>
              <w:rPr/>
            </w:pPr>
            <w:r>
              <w:rPr>
                <w:rStyle w:val="Tb"/>
              </w:rPr>
              <w:t>Penalty s</w:t>
            </w:r>
          </w:p>
        </w:tc>
        <w:tc>
          <w:tcPr>
            <w:tcW w:w="2160" w:type="dxa"/>
            <w:tcBorders>
              <w:bottom w:val="single" w:sz="2" w:space="0" w:color="CCCCCC"/>
            </w:tcBorders>
          </w:tcPr>
          <w:p>
            <w:pPr>
              <w:pStyle w:val="Plain"/>
              <w:bidi w:val="0"/>
              <w:spacing w:lineRule="exact" w:line="365"/>
              <w:jc w:val="start"/>
              <w:rPr/>
            </w:pPr>
            <w:r>
              <w:rPr>
                <w:rStyle w:val="Tb"/>
              </w:rPr>
              <w:t>Charged s</w:t>
            </w:r>
          </w:p>
        </w:tc>
        <w:tc>
          <w:tcPr>
            <w:tcW w:w="2160" w:type="dxa"/>
            <w:tcBorders>
              <w:bottom w:val="single" w:sz="2" w:space="0" w:color="CCCCCC"/>
            </w:tcBorders>
          </w:tcPr>
          <w:p>
            <w:pPr>
              <w:pStyle w:val="Plain"/>
              <w:bidi w:val="0"/>
              <w:spacing w:lineRule="exact" w:line="365"/>
              <w:jc w:val="start"/>
              <w:rPr/>
            </w:pPr>
            <w:r>
              <w:rPr>
                <w:rStyle w:val="Tb"/>
              </w:rPr>
              <w:t>Mistake events</w:t>
            </w:r>
          </w:p>
        </w:tc>
      </w:tr>
      <w:tr>
        <w:trPr/>
        <w:tc>
          <w:tcPr>
            <w:tcW w:w="2160" w:type="dxa"/>
            <w:tcBorders>
              <w:bottom w:val="single" w:sz="2" w:space="0" w:color="CCCCCC"/>
            </w:tcBorders>
          </w:tcPr>
          <w:p>
            <w:pPr>
              <w:pStyle w:val="Plain"/>
              <w:bidi w:val="0"/>
              <w:spacing w:lineRule="exact" w:line="365"/>
              <w:jc w:val="start"/>
              <w:rPr/>
            </w:pPr>
            <w:r>
              <w:rPr/>
              <w:t>GPT-6.1-Sol</w:t>
            </w:r>
          </w:p>
        </w:tc>
        <w:tc>
          <w:tcPr>
            <w:tcW w:w="2160" w:type="dxa"/>
            <w:tcBorders>
              <w:bottom w:val="single" w:sz="2" w:space="0" w:color="CCCCCC"/>
            </w:tcBorders>
          </w:tcPr>
          <w:p>
            <w:pPr>
              <w:pStyle w:val="Plain"/>
              <w:bidi w:val="0"/>
              <w:spacing w:lineRule="exact" w:line="365"/>
              <w:jc w:val="start"/>
              <w:rPr/>
            </w:pPr>
            <w:r>
              <w:rPr/>
              <w:t>663</w:t>
            </w:r>
          </w:p>
        </w:tc>
        <w:tc>
          <w:tcPr>
            <w:tcW w:w="2160" w:type="dxa"/>
            <w:tcBorders>
              <w:bottom w:val="single" w:sz="2" w:space="0" w:color="CCCCCC"/>
            </w:tcBorders>
          </w:tcPr>
          <w:p>
            <w:pPr>
              <w:pStyle w:val="Plain"/>
              <w:bidi w:val="0"/>
              <w:spacing w:lineRule="exact" w:line="365"/>
              <w:jc w:val="start"/>
              <w:rPr/>
            </w:pPr>
            <w:r>
              <w:rPr/>
              <w:t>13280</w:t>
            </w:r>
          </w:p>
        </w:tc>
        <w:tc>
          <w:tcPr>
            <w:tcW w:w="2160" w:type="dxa"/>
            <w:tcBorders>
              <w:bottom w:val="single" w:sz="2" w:space="0" w:color="CCCCCC"/>
            </w:tcBorders>
          </w:tcPr>
          <w:p>
            <w:pPr>
              <w:pStyle w:val="Plain"/>
              <w:bidi w:val="0"/>
              <w:spacing w:lineRule="exact" w:line="365"/>
              <w:jc w:val="start"/>
              <w:rPr/>
            </w:pPr>
            <w:r>
              <w:rPr/>
              <w:t>12012</w:t>
            </w:r>
          </w:p>
        </w:tc>
        <w:tc>
          <w:tcPr>
            <w:tcW w:w="2160" w:type="dxa"/>
            <w:tcBorders>
              <w:bottom w:val="single" w:sz="2" w:space="0" w:color="CCCCCC"/>
            </w:tcBorders>
          </w:tcPr>
          <w:p>
            <w:pPr>
              <w:pStyle w:val="Plain"/>
              <w:bidi w:val="0"/>
              <w:spacing w:lineRule="exact" w:line="365"/>
              <w:jc w:val="start"/>
              <w:rPr/>
            </w:pPr>
            <w:r>
              <w:rPr/>
              <w:t>25292</w:t>
            </w:r>
          </w:p>
        </w:tc>
        <w:tc>
          <w:tcPr>
            <w:tcW w:w="2160" w:type="dxa"/>
            <w:tcBorders>
              <w:bottom w:val="single" w:sz="2" w:space="0" w:color="CCCCCC"/>
            </w:tcBorders>
          </w:tcPr>
          <w:p>
            <w:pPr>
              <w:pStyle w:val="Plain"/>
              <w:bidi w:val="0"/>
              <w:spacing w:lineRule="exact" w:line="365"/>
              <w:jc w:val="start"/>
              <w:rPr/>
            </w:pPr>
            <w:r>
              <w:rPr/>
              <w:t>245</w:t>
            </w:r>
          </w:p>
        </w:tc>
      </w:tr>
      <w:tr>
        <w:trPr/>
        <w:tc>
          <w:tcPr>
            <w:tcW w:w="2160" w:type="dxa"/>
            <w:tcBorders>
              <w:bottom w:val="single" w:sz="2" w:space="0" w:color="CCCCCC"/>
            </w:tcBorders>
          </w:tcPr>
          <w:p>
            <w:pPr>
              <w:pStyle w:val="Plain"/>
              <w:bidi w:val="0"/>
              <w:spacing w:lineRule="exact" w:line="365"/>
              <w:jc w:val="start"/>
              <w:rPr/>
            </w:pPr>
            <w:r>
              <w:rPr/>
              <w:t>GPT-6-Astra</w:t>
            </w:r>
          </w:p>
        </w:tc>
        <w:tc>
          <w:tcPr>
            <w:tcW w:w="2160" w:type="dxa"/>
            <w:tcBorders>
              <w:bottom w:val="single" w:sz="2" w:space="0" w:color="CCCCCC"/>
            </w:tcBorders>
          </w:tcPr>
          <w:p>
            <w:pPr>
              <w:pStyle w:val="Plain"/>
              <w:bidi w:val="0"/>
              <w:spacing w:lineRule="exact" w:line="365"/>
              <w:jc w:val="start"/>
              <w:rPr/>
            </w:pPr>
            <w:r>
              <w:rPr/>
              <w:t>528</w:t>
            </w:r>
          </w:p>
        </w:tc>
        <w:tc>
          <w:tcPr>
            <w:tcW w:w="2160" w:type="dxa"/>
            <w:tcBorders>
              <w:bottom w:val="single" w:sz="2" w:space="0" w:color="CCCCCC"/>
            </w:tcBorders>
          </w:tcPr>
          <w:p>
            <w:pPr>
              <w:pStyle w:val="Plain"/>
              <w:bidi w:val="0"/>
              <w:spacing w:lineRule="exact" w:line="365"/>
              <w:jc w:val="start"/>
              <w:rPr/>
            </w:pPr>
            <w:r>
              <w:rPr/>
              <w:t>16190</w:t>
            </w:r>
          </w:p>
        </w:tc>
        <w:tc>
          <w:tcPr>
            <w:tcW w:w="2160" w:type="dxa"/>
            <w:tcBorders>
              <w:bottom w:val="single" w:sz="2" w:space="0" w:color="CCCCCC"/>
            </w:tcBorders>
          </w:tcPr>
          <w:p>
            <w:pPr>
              <w:pStyle w:val="Plain"/>
              <w:bidi w:val="0"/>
              <w:spacing w:lineRule="exact" w:line="365"/>
              <w:jc w:val="start"/>
              <w:rPr/>
            </w:pPr>
            <w:r>
              <w:rPr/>
              <w:t>1404</w:t>
            </w:r>
          </w:p>
        </w:tc>
        <w:tc>
          <w:tcPr>
            <w:tcW w:w="2160" w:type="dxa"/>
            <w:tcBorders>
              <w:bottom w:val="single" w:sz="2" w:space="0" w:color="CCCCCC"/>
            </w:tcBorders>
          </w:tcPr>
          <w:p>
            <w:pPr>
              <w:pStyle w:val="Plain"/>
              <w:bidi w:val="0"/>
              <w:spacing w:lineRule="exact" w:line="365"/>
              <w:jc w:val="start"/>
              <w:rPr/>
            </w:pPr>
            <w:r>
              <w:rPr/>
              <w:t>17594</w:t>
            </w:r>
          </w:p>
        </w:tc>
        <w:tc>
          <w:tcPr>
            <w:tcW w:w="2160" w:type="dxa"/>
            <w:tcBorders>
              <w:bottom w:val="single" w:sz="2" w:space="0" w:color="CCCCCC"/>
            </w:tcBorders>
          </w:tcPr>
          <w:p>
            <w:pPr>
              <w:pStyle w:val="Plain"/>
              <w:bidi w:val="0"/>
              <w:spacing w:lineRule="exact" w:line="365"/>
              <w:jc w:val="start"/>
              <w:rPr/>
            </w:pPr>
            <w:r>
              <w:rPr/>
              <w:t>30</w:t>
            </w:r>
          </w:p>
        </w:tc>
      </w:tr>
      <w:tr>
        <w:trPr/>
        <w:tc>
          <w:tcPr>
            <w:tcW w:w="2160" w:type="dxa"/>
            <w:tcBorders>
              <w:bottom w:val="single" w:sz="2" w:space="0" w:color="CCCCCC"/>
            </w:tcBorders>
          </w:tcPr>
          <w:p>
            <w:pPr>
              <w:pStyle w:val="Plain"/>
              <w:bidi w:val="0"/>
              <w:spacing w:lineRule="exact" w:line="365"/>
              <w:jc w:val="start"/>
              <w:rPr/>
            </w:pPr>
            <w:r>
              <w:rPr/>
              <w:t>GPT-6-Luna</w:t>
            </w:r>
          </w:p>
        </w:tc>
        <w:tc>
          <w:tcPr>
            <w:tcW w:w="2160" w:type="dxa"/>
            <w:tcBorders>
              <w:bottom w:val="single" w:sz="2" w:space="0" w:color="CCCCCC"/>
            </w:tcBorders>
          </w:tcPr>
          <w:p>
            <w:pPr>
              <w:pStyle w:val="Plain"/>
              <w:bidi w:val="0"/>
              <w:spacing w:lineRule="exact" w:line="365"/>
              <w:jc w:val="start"/>
              <w:rPr/>
            </w:pPr>
            <w:r>
              <w:rPr/>
              <w:t>807</w:t>
            </w:r>
          </w:p>
        </w:tc>
        <w:tc>
          <w:tcPr>
            <w:tcW w:w="2160" w:type="dxa"/>
            <w:tcBorders>
              <w:bottom w:val="single" w:sz="2" w:space="0" w:color="CCCCCC"/>
            </w:tcBorders>
          </w:tcPr>
          <w:p>
            <w:pPr>
              <w:pStyle w:val="Plain"/>
              <w:bidi w:val="0"/>
              <w:spacing w:lineRule="exact" w:line="365"/>
              <w:jc w:val="start"/>
              <w:rPr/>
            </w:pPr>
            <w:r>
              <w:rPr/>
              <w:t>15230</w:t>
            </w:r>
          </w:p>
        </w:tc>
        <w:tc>
          <w:tcPr>
            <w:tcW w:w="2160" w:type="dxa"/>
            <w:tcBorders>
              <w:bottom w:val="single" w:sz="2" w:space="0" w:color="CCCCCC"/>
            </w:tcBorders>
          </w:tcPr>
          <w:p>
            <w:pPr>
              <w:pStyle w:val="Plain"/>
              <w:bidi w:val="0"/>
              <w:spacing w:lineRule="exact" w:line="365"/>
              <w:jc w:val="start"/>
              <w:rPr/>
            </w:pPr>
            <w:r>
              <w:rPr/>
              <w:t>14970</w:t>
            </w:r>
          </w:p>
        </w:tc>
        <w:tc>
          <w:tcPr>
            <w:tcW w:w="2160" w:type="dxa"/>
            <w:tcBorders>
              <w:bottom w:val="single" w:sz="2" w:space="0" w:color="CCCCCC"/>
            </w:tcBorders>
          </w:tcPr>
          <w:p>
            <w:pPr>
              <w:pStyle w:val="Plain"/>
              <w:bidi w:val="0"/>
              <w:spacing w:lineRule="exact" w:line="365"/>
              <w:jc w:val="start"/>
              <w:rPr/>
            </w:pPr>
            <w:r>
              <w:rPr/>
              <w:t>30200</w:t>
            </w:r>
          </w:p>
        </w:tc>
        <w:tc>
          <w:tcPr>
            <w:tcW w:w="2160" w:type="dxa"/>
            <w:tcBorders>
              <w:bottom w:val="single" w:sz="2" w:space="0" w:color="CCCCCC"/>
            </w:tcBorders>
          </w:tcPr>
          <w:p>
            <w:pPr>
              <w:pStyle w:val="Plain"/>
              <w:bidi w:val="0"/>
              <w:spacing w:lineRule="exact" w:line="365"/>
              <w:jc w:val="start"/>
              <w:rPr/>
            </w:pPr>
            <w:r>
              <w:rPr/>
              <w:t>309</w:t>
            </w:r>
          </w:p>
        </w:tc>
      </w:tr>
    </w:tbl>
    <w:p>
      <w:pPr>
        <w:pStyle w:val="TableCaption"/>
        <w:keepNext w:val="true"/>
        <w:bidi w:val="0"/>
        <w:jc w:val="start"/>
        <w:rPr/>
      </w:pPr>
      <w:r>
        <w:rPr/>
        <w:t>Table 32. Appendix F. Exploratory resources</w:t>
      </w:r>
    </w:p>
    <w:tbl>
      <w:tblPr>
        <w:tblW w:w="12960" w:type="dxa"/>
        <w:jc w:val="start"/>
        <w:tblInd w:w="0" w:type="dxa"/>
        <w:tblLayout w:type="fixed"/>
        <w:tblCellMar>
          <w:top w:w="58" w:type="dxa"/>
          <w:start w:w="58" w:type="dxa"/>
          <w:bottom w:w="58" w:type="dxa"/>
          <w:end w:w="58" w:type="dxa"/>
        </w:tblCellMar>
      </w:tblPr>
      <w:tblGrid>
        <w:gridCol w:w="4984"/>
        <w:gridCol w:w="1993"/>
        <w:gridCol w:w="1993"/>
        <w:gridCol w:w="1993"/>
        <w:gridCol w:w="1997"/>
      </w:tblGrid>
      <w:tr>
        <w:trPr/>
        <w:tc>
          <w:tcPr>
            <w:tcW w:w="4984" w:type="dxa"/>
            <w:tcBorders>
              <w:bottom w:val="single" w:sz="2" w:space="0" w:color="CCCCCC"/>
            </w:tcBorders>
          </w:tcPr>
          <w:p>
            <w:pPr>
              <w:pStyle w:val="CompactTableText"/>
              <w:bidi w:val="0"/>
              <w:spacing w:lineRule="auto" w:line="264" w:before="0" w:after="43"/>
              <w:jc w:val="start"/>
              <w:rPr/>
            </w:pPr>
            <w:r>
              <w:rPr>
                <w:rStyle w:val="Tb"/>
              </w:rPr>
              <w:t>Model requested</w:t>
            </w:r>
          </w:p>
        </w:tc>
        <w:tc>
          <w:tcPr>
            <w:tcW w:w="1993" w:type="dxa"/>
            <w:tcBorders>
              <w:bottom w:val="single" w:sz="2" w:space="0" w:color="CCCCCC"/>
            </w:tcBorders>
          </w:tcPr>
          <w:p>
            <w:pPr>
              <w:pStyle w:val="CompactTableText"/>
              <w:bidi w:val="0"/>
              <w:spacing w:lineRule="auto" w:line="264" w:before="0" w:after="43"/>
              <w:jc w:val="start"/>
              <w:rPr/>
            </w:pPr>
            <w:r>
              <w:rPr>
                <w:rStyle w:val="Tb"/>
              </w:rPr>
              <w:t>Agent wall s</w:t>
            </w:r>
          </w:p>
        </w:tc>
        <w:tc>
          <w:tcPr>
            <w:tcW w:w="1993" w:type="dxa"/>
            <w:tcBorders>
              <w:bottom w:val="single" w:sz="2" w:space="0" w:color="CCCCCC"/>
            </w:tcBorders>
          </w:tcPr>
          <w:p>
            <w:pPr>
              <w:pStyle w:val="CompactTableText"/>
              <w:bidi w:val="0"/>
              <w:spacing w:lineRule="auto" w:line="264" w:before="0" w:after="43"/>
              <w:jc w:val="start"/>
              <w:rPr/>
            </w:pPr>
            <w:r>
              <w:rPr>
                <w:rStyle w:val="Tb"/>
              </w:rPr>
              <w:t>Input tokens</w:t>
            </w:r>
          </w:p>
        </w:tc>
        <w:tc>
          <w:tcPr>
            <w:tcW w:w="1993" w:type="dxa"/>
            <w:tcBorders>
              <w:bottom w:val="single" w:sz="2" w:space="0" w:color="CCCCCC"/>
            </w:tcBorders>
          </w:tcPr>
          <w:p>
            <w:pPr>
              <w:pStyle w:val="CompactTableText"/>
              <w:bidi w:val="0"/>
              <w:spacing w:lineRule="auto" w:line="264" w:before="0" w:after="43"/>
              <w:jc w:val="start"/>
              <w:rPr/>
            </w:pPr>
            <w:r>
              <w:rPr>
                <w:rStyle w:val="Tb"/>
              </w:rPr>
              <w:t>Output tokens</w:t>
            </w:r>
          </w:p>
        </w:tc>
        <w:tc>
          <w:tcPr>
            <w:tcW w:w="1997" w:type="dxa"/>
            <w:tcBorders>
              <w:bottom w:val="single" w:sz="2" w:space="0" w:color="CCCCCC"/>
            </w:tcBorders>
          </w:tcPr>
          <w:p>
            <w:pPr>
              <w:pStyle w:val="CompactTableText"/>
              <w:bidi w:val="0"/>
              <w:spacing w:lineRule="auto" w:line="264" w:before="0" w:after="43"/>
              <w:jc w:val="start"/>
              <w:rPr/>
            </w:pPr>
            <w:r>
              <w:rPr>
                <w:rStyle w:val="Tb"/>
              </w:rPr>
              <w:t>Cache-read tokens</w:t>
            </w:r>
          </w:p>
        </w:tc>
      </w:tr>
      <w:tr>
        <w:trPr/>
        <w:tc>
          <w:tcPr>
            <w:tcW w:w="4984" w:type="dxa"/>
            <w:tcBorders>
              <w:bottom w:val="single" w:sz="2" w:space="0" w:color="CCCCCC"/>
            </w:tcBorders>
          </w:tcPr>
          <w:p>
            <w:pPr>
              <w:pStyle w:val="CompactTableText"/>
              <w:bidi w:val="0"/>
              <w:spacing w:lineRule="auto" w:line="264" w:before="0" w:after="43"/>
              <w:jc w:val="start"/>
              <w:rPr/>
            </w:pPr>
            <w:r>
              <w:rPr/>
              <w:t>GPT-6.1-Sol</w:t>
            </w:r>
          </w:p>
        </w:tc>
        <w:tc>
          <w:tcPr>
            <w:tcW w:w="1993" w:type="dxa"/>
            <w:tcBorders>
              <w:bottom w:val="single" w:sz="2" w:space="0" w:color="CCCCCC"/>
            </w:tcBorders>
          </w:tcPr>
          <w:p>
            <w:pPr>
              <w:pStyle w:val="CompactTableText"/>
              <w:bidi w:val="0"/>
              <w:spacing w:lineRule="auto" w:line="264" w:before="0" w:after="43"/>
              <w:jc w:val="start"/>
              <w:rPr/>
            </w:pPr>
            <w:r>
              <w:rPr/>
              <w:t>1079.565809254</w:t>
            </w:r>
          </w:p>
        </w:tc>
        <w:tc>
          <w:tcPr>
            <w:tcW w:w="1993" w:type="dxa"/>
            <w:tcBorders>
              <w:bottom w:val="single" w:sz="2" w:space="0" w:color="CCCCCC"/>
            </w:tcBorders>
          </w:tcPr>
          <w:p>
            <w:pPr>
              <w:pStyle w:val="CompactTableText"/>
              <w:bidi w:val="0"/>
              <w:spacing w:lineRule="auto" w:line="264" w:before="0" w:after="43"/>
              <w:jc w:val="start"/>
              <w:rPr/>
            </w:pPr>
            <w:r>
              <w:rPr/>
              <w:t>3877499</w:t>
            </w:r>
          </w:p>
        </w:tc>
        <w:tc>
          <w:tcPr>
            <w:tcW w:w="1993" w:type="dxa"/>
            <w:tcBorders>
              <w:bottom w:val="single" w:sz="2" w:space="0" w:color="CCCCCC"/>
            </w:tcBorders>
          </w:tcPr>
          <w:p>
            <w:pPr>
              <w:pStyle w:val="CompactTableText"/>
              <w:bidi w:val="0"/>
              <w:spacing w:lineRule="auto" w:line="264" w:before="0" w:after="43"/>
              <w:jc w:val="start"/>
              <w:rPr/>
            </w:pPr>
            <w:r>
              <w:rPr/>
              <w:t>22686</w:t>
            </w:r>
          </w:p>
        </w:tc>
        <w:tc>
          <w:tcPr>
            <w:tcW w:w="1997" w:type="dxa"/>
            <w:tcBorders>
              <w:bottom w:val="single" w:sz="2" w:space="0" w:color="CCCCCC"/>
            </w:tcBorders>
          </w:tcPr>
          <w:p>
            <w:pPr>
              <w:pStyle w:val="CompactTableText"/>
              <w:bidi w:val="0"/>
              <w:spacing w:lineRule="auto" w:line="264" w:before="0" w:after="43"/>
              <w:jc w:val="start"/>
              <w:rPr/>
            </w:pPr>
            <w:r>
              <w:rPr/>
              <w:t>3767168</w:t>
            </w:r>
          </w:p>
        </w:tc>
      </w:tr>
      <w:tr>
        <w:trPr/>
        <w:tc>
          <w:tcPr>
            <w:tcW w:w="4984" w:type="dxa"/>
            <w:tcBorders>
              <w:bottom w:val="single" w:sz="2" w:space="0" w:color="CCCCCC"/>
            </w:tcBorders>
          </w:tcPr>
          <w:p>
            <w:pPr>
              <w:pStyle w:val="CompactTableText"/>
              <w:bidi w:val="0"/>
              <w:spacing w:lineRule="auto" w:line="264" w:before="0" w:after="43"/>
              <w:jc w:val="start"/>
              <w:rPr/>
            </w:pPr>
            <w:r>
              <w:rPr/>
              <w:t>GPT-6-Astra</w:t>
            </w:r>
          </w:p>
        </w:tc>
        <w:tc>
          <w:tcPr>
            <w:tcW w:w="1993" w:type="dxa"/>
            <w:tcBorders>
              <w:bottom w:val="single" w:sz="2" w:space="0" w:color="CCCCCC"/>
            </w:tcBorders>
          </w:tcPr>
          <w:p>
            <w:pPr>
              <w:pStyle w:val="CompactTableText"/>
              <w:bidi w:val="0"/>
              <w:spacing w:lineRule="auto" w:line="264" w:before="0" w:after="43"/>
              <w:jc w:val="start"/>
              <w:rPr/>
            </w:pPr>
            <w:r>
              <w:rPr/>
              <w:t>555.097799603</w:t>
            </w:r>
          </w:p>
        </w:tc>
        <w:tc>
          <w:tcPr>
            <w:tcW w:w="1993" w:type="dxa"/>
            <w:tcBorders>
              <w:bottom w:val="single" w:sz="2" w:space="0" w:color="CCCCCC"/>
            </w:tcBorders>
          </w:tcPr>
          <w:p>
            <w:pPr>
              <w:pStyle w:val="CompactTableText"/>
              <w:bidi w:val="0"/>
              <w:spacing w:lineRule="auto" w:line="264" w:before="0" w:after="43"/>
              <w:jc w:val="start"/>
              <w:rPr/>
            </w:pPr>
            <w:r>
              <w:rPr/>
              <w:t>2301314</w:t>
            </w:r>
          </w:p>
        </w:tc>
        <w:tc>
          <w:tcPr>
            <w:tcW w:w="1993" w:type="dxa"/>
            <w:tcBorders>
              <w:bottom w:val="single" w:sz="2" w:space="0" w:color="CCCCCC"/>
            </w:tcBorders>
          </w:tcPr>
          <w:p>
            <w:pPr>
              <w:pStyle w:val="CompactTableText"/>
              <w:bidi w:val="0"/>
              <w:spacing w:lineRule="auto" w:line="264" w:before="0" w:after="43"/>
              <w:jc w:val="start"/>
              <w:rPr/>
            </w:pPr>
            <w:r>
              <w:rPr/>
              <w:t>8750</w:t>
            </w:r>
          </w:p>
        </w:tc>
        <w:tc>
          <w:tcPr>
            <w:tcW w:w="1997" w:type="dxa"/>
            <w:tcBorders>
              <w:bottom w:val="single" w:sz="2" w:space="0" w:color="CCCCCC"/>
            </w:tcBorders>
          </w:tcPr>
          <w:p>
            <w:pPr>
              <w:pStyle w:val="CompactTableText"/>
              <w:bidi w:val="0"/>
              <w:spacing w:lineRule="auto" w:line="264" w:before="0" w:after="43"/>
              <w:jc w:val="start"/>
              <w:rPr/>
            </w:pPr>
            <w:r>
              <w:rPr/>
              <w:t>2187520</w:t>
            </w:r>
          </w:p>
        </w:tc>
      </w:tr>
      <w:tr>
        <w:trPr/>
        <w:tc>
          <w:tcPr>
            <w:tcW w:w="4984" w:type="dxa"/>
            <w:tcBorders>
              <w:bottom w:val="single" w:sz="2" w:space="0" w:color="CCCCCC"/>
            </w:tcBorders>
          </w:tcPr>
          <w:p>
            <w:pPr>
              <w:pStyle w:val="CompactTableText"/>
              <w:bidi w:val="0"/>
              <w:spacing w:lineRule="auto" w:line="264" w:before="0" w:after="43"/>
              <w:jc w:val="start"/>
              <w:rPr/>
            </w:pPr>
            <w:r>
              <w:rPr/>
              <w:t>GPT-6-Luna</w:t>
            </w:r>
          </w:p>
        </w:tc>
        <w:tc>
          <w:tcPr>
            <w:tcW w:w="1993" w:type="dxa"/>
            <w:tcBorders>
              <w:bottom w:val="single" w:sz="2" w:space="0" w:color="CCCCCC"/>
            </w:tcBorders>
          </w:tcPr>
          <w:p>
            <w:pPr>
              <w:pStyle w:val="CompactTableText"/>
              <w:bidi w:val="0"/>
              <w:spacing w:lineRule="auto" w:line="264" w:before="0" w:after="43"/>
              <w:jc w:val="start"/>
              <w:rPr/>
            </w:pPr>
            <w:r>
              <w:rPr/>
              <w:t>Unavailable</w:t>
            </w:r>
          </w:p>
        </w:tc>
        <w:tc>
          <w:tcPr>
            <w:tcW w:w="1993" w:type="dxa"/>
            <w:tcBorders>
              <w:bottom w:val="single" w:sz="2" w:space="0" w:color="CCCCCC"/>
            </w:tcBorders>
          </w:tcPr>
          <w:p>
            <w:pPr>
              <w:pStyle w:val="CompactTableText"/>
              <w:bidi w:val="0"/>
              <w:spacing w:lineRule="auto" w:line="264" w:before="0" w:after="43"/>
              <w:jc w:val="start"/>
              <w:rPr/>
            </w:pPr>
            <w:r>
              <w:rPr/>
              <w:t>13048986</w:t>
            </w:r>
          </w:p>
        </w:tc>
        <w:tc>
          <w:tcPr>
            <w:tcW w:w="1993" w:type="dxa"/>
            <w:tcBorders>
              <w:bottom w:val="single" w:sz="2" w:space="0" w:color="CCCCCC"/>
            </w:tcBorders>
          </w:tcPr>
          <w:p>
            <w:pPr>
              <w:pStyle w:val="CompactTableText"/>
              <w:bidi w:val="0"/>
              <w:spacing w:lineRule="auto" w:line="264" w:before="0" w:after="43"/>
              <w:jc w:val="start"/>
              <w:rPr/>
            </w:pPr>
            <w:r>
              <w:rPr/>
              <w:t>62622</w:t>
            </w:r>
          </w:p>
        </w:tc>
        <w:tc>
          <w:tcPr>
            <w:tcW w:w="1997" w:type="dxa"/>
            <w:tcBorders>
              <w:bottom w:val="single" w:sz="2" w:space="0" w:color="CCCCCC"/>
            </w:tcBorders>
          </w:tcPr>
          <w:p>
            <w:pPr>
              <w:pStyle w:val="CompactTableText"/>
              <w:bidi w:val="0"/>
              <w:spacing w:lineRule="auto" w:line="264" w:before="0" w:after="43"/>
              <w:jc w:val="start"/>
              <w:rPr/>
            </w:pPr>
            <w:r>
              <w:rPr/>
              <w:t>12776448</w:t>
            </w:r>
          </w:p>
        </w:tc>
      </w:tr>
    </w:tbl>
    <w:p>
      <w:pPr>
        <w:pStyle w:val="SourceCitation"/>
        <w:keepLines/>
        <w:bidi w:val="0"/>
        <w:spacing w:lineRule="auto" w:line="276" w:before="0" w:after="58"/>
        <w:jc w:val="start"/>
        <w:rPr/>
      </w:pPr>
      <w:r>
        <w:rPr/>
        <w:t>Productive and penalty charges are additive. Mistake events count affected actions; typed labels can overlap. Cache-read tokens are already included in input tokens and must not be added again. Agent wall time excludes setup; tool attempts are not model-call Steps. Recorded telemetry and unavailable observations retain separate meanings.</w:t>
      </w:r>
    </w:p>
    <w:p>
      <w:pPr>
        <w:pStyle w:val="SourceCitation"/>
        <w:keepLines/>
        <w:bidi w:val="0"/>
        <w:spacing w:lineRule="auto" w:line="276" w:before="0" w:after="58"/>
        <w:jc w:val="start"/>
        <w:rPr/>
      </w:pPr>
      <w:r>
        <w:rPr/>
        <w:t>Luna token counters are the latest observed prefix, with final-turn coverage unavailable. They are displayed separately from complete-turn resource measurements and do not supply a complete consumption estimate. Its agent wall time remains unavailable. The accepted finish endpoint preserves the original capture refusal and pending response record; it does not convert that record into a completed model turn.</w:t>
      </w:r>
    </w:p>
    <w:p>
      <w:pPr>
        <w:pStyle w:val="SourceCitation"/>
        <w:keepLines/>
        <w:bidi w:val="0"/>
        <w:spacing w:lineRule="auto" w:line="276" w:before="0" w:after="58"/>
        <w:jc w:val="start"/>
        <w:rPr/>
      </w:pPr>
      <w:r>
        <w:rPr/>
        <w:t>For Sol, the independent scorer recorded 25262 charged seconds, whereas the used in-game classification records 25292. The documented difference is a cover-gasket refit classified as productive work by the independent scorer and as a mistake penalty in the game. The original records are retained. The table uses the in-game policy; primary checkpoint points agree.</w:t>
      </w:r>
    </w:p>
    <w:p>
      <w:pPr>
        <w:sectPr>
          <w:type w:val="nextPage"/>
          <w:pgSz w:orient="landscape" w:w="15840" w:h="12240"/>
          <w:pgMar w:left="1440" w:right="1440" w:gutter="0" w:header="0" w:top="1440" w:footer="0" w:bottom="1440"/>
          <w:pgNumType w:fmt="decimal"/>
          <w:formProt w:val="false"/>
          <w:textDirection w:val="lrTb"/>
          <w:docGrid w:type="default" w:linePitch="600" w:charSpace="32768"/>
        </w:sectPr>
        <w:pStyle w:val="SourceCitation"/>
        <w:keepLines/>
        <w:bidi w:val="0"/>
        <w:spacing w:lineRule="auto" w:line="276" w:before="0" w:after="58"/>
        <w:jc w:val="start"/>
        <w:rPr/>
      </w:pPr>
      <w:r>
        <w:rPr/>
        <w:t>The independent and game scorers use different secondary checklist item sets and retain unknowns. Agreement on primary points and shared bolt fields does not establish full service coverage or external contract identity. Astra and Luna shared charge entries agree; Sol retains the stated limitation. Luna also retains an overlapping mistake-label difference between scorers. These model attempts remain separate from the original-rule scripted references and the earlier incomplete diagnostic jobs.</w:t>
      </w:r>
    </w:p>
    <w:p>
      <w:pPr>
        <w:pStyle w:val="PortraitReturnHeading"/>
        <w:bidi w:val="0"/>
        <w:jc w:val="start"/>
        <w:rPr/>
      </w:pPr>
      <w:r>
        <w:rPr/>
        <w:t>Appendix F. Exploratory checkpoint outcomes</w:t>
      </w:r>
    </w:p>
    <w:p>
      <w:pPr>
        <w:pStyle w:val="Plain"/>
        <w:bidi w:val="0"/>
        <w:spacing w:lineRule="exact" w:line="365"/>
        <w:jc w:val="start"/>
        <w:rPr/>
      </w:pPr>
      <w:r>
        <w:rPr/>
        <w:t>Each column is one repair attempt. Outcomes join checkpoint identity, weight and pass status between the game and independent reports. The full requirements appear in Appendix C.</w:t>
      </w:r>
    </w:p>
    <w:p>
      <w:pPr>
        <w:pStyle w:val="TableCaption"/>
        <w:keepNext w:val="true"/>
        <w:bidi w:val="0"/>
        <w:jc w:val="start"/>
        <w:rPr/>
      </w:pPr>
      <w:r>
        <w:rPr/>
        <w:t>Table 33. Appendix F. Exploratory checkpoint outcomes</w:t>
      </w:r>
    </w:p>
    <w:tbl>
      <w:tblPr>
        <w:tblW w:w="9360" w:type="dxa"/>
        <w:jc w:val="start"/>
        <w:tblInd w:w="0" w:type="dxa"/>
        <w:tblLayout w:type="fixed"/>
        <w:tblCellMar>
          <w:top w:w="58" w:type="dxa"/>
          <w:start w:w="58" w:type="dxa"/>
          <w:bottom w:w="58" w:type="dxa"/>
          <w:end w:w="58" w:type="dxa"/>
        </w:tblCellMar>
      </w:tblPr>
      <w:tblGrid>
        <w:gridCol w:w="3600"/>
        <w:gridCol w:w="1440"/>
        <w:gridCol w:w="1440"/>
        <w:gridCol w:w="1440"/>
        <w:gridCol w:w="1440"/>
      </w:tblGrid>
      <w:tr>
        <w:trPr/>
        <w:tc>
          <w:tcPr>
            <w:tcW w:w="3600" w:type="dxa"/>
            <w:tcBorders>
              <w:bottom w:val="single" w:sz="2" w:space="0" w:color="CCCCCC"/>
            </w:tcBorders>
          </w:tcPr>
          <w:p>
            <w:pPr>
              <w:pStyle w:val="CompactTableText"/>
              <w:bidi w:val="0"/>
              <w:spacing w:lineRule="auto" w:line="264" w:before="0" w:after="43"/>
              <w:jc w:val="start"/>
              <w:rPr/>
            </w:pPr>
            <w:r>
              <w:rPr>
                <w:rStyle w:val="Tb"/>
              </w:rPr>
              <w:t>Checkpoint</w:t>
            </w:r>
          </w:p>
        </w:tc>
        <w:tc>
          <w:tcPr>
            <w:tcW w:w="1440" w:type="dxa"/>
            <w:tcBorders>
              <w:bottom w:val="single" w:sz="2" w:space="0" w:color="CCCCCC"/>
            </w:tcBorders>
          </w:tcPr>
          <w:p>
            <w:pPr>
              <w:pStyle w:val="CompactTableText"/>
              <w:bidi w:val="0"/>
              <w:spacing w:lineRule="auto" w:line="264" w:before="0" w:after="43"/>
              <w:jc w:val="start"/>
              <w:rPr/>
            </w:pPr>
            <w:r>
              <w:rPr>
                <w:rStyle w:val="Tb"/>
              </w:rPr>
              <w:t>Weight</w:t>
            </w:r>
          </w:p>
        </w:tc>
        <w:tc>
          <w:tcPr>
            <w:tcW w:w="1440" w:type="dxa"/>
            <w:tcBorders>
              <w:bottom w:val="single" w:sz="2" w:space="0" w:color="CCCCCC"/>
            </w:tcBorders>
          </w:tcPr>
          <w:p>
            <w:pPr>
              <w:pStyle w:val="CompactTableText"/>
              <w:bidi w:val="0"/>
              <w:spacing w:lineRule="auto" w:line="264" w:before="0" w:after="43"/>
              <w:jc w:val="start"/>
              <w:rPr/>
            </w:pPr>
            <w:r>
              <w:rPr>
                <w:rStyle w:val="Tb"/>
              </w:rPr>
              <w:t>GPT-6.1-Sol</w:t>
            </w:r>
          </w:p>
        </w:tc>
        <w:tc>
          <w:tcPr>
            <w:tcW w:w="1440" w:type="dxa"/>
            <w:tcBorders>
              <w:bottom w:val="single" w:sz="2" w:space="0" w:color="CCCCCC"/>
            </w:tcBorders>
          </w:tcPr>
          <w:p>
            <w:pPr>
              <w:pStyle w:val="CompactTableText"/>
              <w:bidi w:val="0"/>
              <w:spacing w:lineRule="auto" w:line="264" w:before="0" w:after="43"/>
              <w:jc w:val="start"/>
              <w:rPr/>
            </w:pPr>
            <w:r>
              <w:rPr>
                <w:rStyle w:val="Tb"/>
              </w:rPr>
              <w:t>GPT-6-Astra</w:t>
            </w:r>
          </w:p>
        </w:tc>
        <w:tc>
          <w:tcPr>
            <w:tcW w:w="1440" w:type="dxa"/>
            <w:tcBorders>
              <w:bottom w:val="single" w:sz="2" w:space="0" w:color="CCCCCC"/>
            </w:tcBorders>
          </w:tcPr>
          <w:p>
            <w:pPr>
              <w:pStyle w:val="CompactTableText"/>
              <w:bidi w:val="0"/>
              <w:spacing w:lineRule="auto" w:line="264" w:before="0" w:after="43"/>
              <w:jc w:val="start"/>
              <w:rPr/>
            </w:pPr>
            <w:r>
              <w:rPr>
                <w:rStyle w:val="Tb"/>
              </w:rPr>
              <w:t>GPT-6-Luna</w:t>
            </w:r>
          </w:p>
        </w:tc>
      </w:tr>
      <w:tr>
        <w:trPr/>
        <w:tc>
          <w:tcPr>
            <w:tcW w:w="3600" w:type="dxa"/>
            <w:tcBorders>
              <w:bottom w:val="single" w:sz="2" w:space="0" w:color="CCCCCC"/>
            </w:tcBorders>
          </w:tcPr>
          <w:p>
            <w:pPr>
              <w:pStyle w:val="CompactTableText"/>
              <w:bidi w:val="0"/>
              <w:spacing w:lineRule="auto" w:line="264" w:before="0" w:after="43"/>
              <w:jc w:val="start"/>
              <w:rPr/>
            </w:pPr>
            <w:r>
              <w:rPr/>
              <w:t>CP01</w:t>
            </w:r>
          </w:p>
        </w:tc>
        <w:tc>
          <w:tcPr>
            <w:tcW w:w="1440" w:type="dxa"/>
            <w:tcBorders>
              <w:bottom w:val="single" w:sz="2" w:space="0" w:color="CCCCCC"/>
            </w:tcBorders>
          </w:tcPr>
          <w:p>
            <w:pPr>
              <w:pStyle w:val="CompactTableText"/>
              <w:bidi w:val="0"/>
              <w:spacing w:lineRule="auto" w:line="264" w:before="0" w:after="43"/>
              <w:jc w:val="start"/>
              <w:rPr/>
            </w:pPr>
            <w:r>
              <w:rPr/>
              <w:t>1</w:t>
            </w:r>
          </w:p>
        </w:tc>
        <w:tc>
          <w:tcPr>
            <w:tcW w:w="1440" w:type="dxa"/>
            <w:tcBorders>
              <w:bottom w:val="single" w:sz="2" w:space="0" w:color="CCCCCC"/>
            </w:tcBorders>
          </w:tcPr>
          <w:p>
            <w:pPr>
              <w:pStyle w:val="CompactTableText"/>
              <w:bidi w:val="0"/>
              <w:spacing w:lineRule="auto" w:line="264" w:before="0" w:after="43"/>
              <w:jc w:val="start"/>
              <w:rPr/>
            </w:pPr>
            <w:r>
              <w:rPr/>
              <w:t>Pass</w:t>
            </w:r>
          </w:p>
        </w:tc>
        <w:tc>
          <w:tcPr>
            <w:tcW w:w="1440" w:type="dxa"/>
            <w:tcBorders>
              <w:bottom w:val="single" w:sz="2" w:space="0" w:color="CCCCCC"/>
            </w:tcBorders>
          </w:tcPr>
          <w:p>
            <w:pPr>
              <w:pStyle w:val="CompactTableText"/>
              <w:bidi w:val="0"/>
              <w:spacing w:lineRule="auto" w:line="264" w:before="0" w:after="43"/>
              <w:jc w:val="start"/>
              <w:rPr/>
            </w:pPr>
            <w:r>
              <w:rPr/>
              <w:t>Pass</w:t>
            </w:r>
          </w:p>
        </w:tc>
        <w:tc>
          <w:tcPr>
            <w:tcW w:w="1440" w:type="dxa"/>
            <w:tcBorders>
              <w:bottom w:val="single" w:sz="2" w:space="0" w:color="CCCCCC"/>
            </w:tcBorders>
          </w:tcPr>
          <w:p>
            <w:pPr>
              <w:pStyle w:val="CompactTableText"/>
              <w:bidi w:val="0"/>
              <w:spacing w:lineRule="auto" w:line="264" w:before="0" w:after="43"/>
              <w:jc w:val="start"/>
              <w:rPr/>
            </w:pPr>
            <w:r>
              <w:rPr/>
              <w:t>Pass</w:t>
            </w:r>
          </w:p>
        </w:tc>
      </w:tr>
      <w:tr>
        <w:trPr/>
        <w:tc>
          <w:tcPr>
            <w:tcW w:w="3600" w:type="dxa"/>
            <w:tcBorders>
              <w:bottom w:val="single" w:sz="2" w:space="0" w:color="CCCCCC"/>
            </w:tcBorders>
          </w:tcPr>
          <w:p>
            <w:pPr>
              <w:pStyle w:val="CompactTableText"/>
              <w:bidi w:val="0"/>
              <w:spacing w:lineRule="auto" w:line="264" w:before="0" w:after="43"/>
              <w:jc w:val="start"/>
              <w:rPr/>
            </w:pPr>
            <w:r>
              <w:rPr/>
              <w:t>CP02</w:t>
            </w:r>
          </w:p>
        </w:tc>
        <w:tc>
          <w:tcPr>
            <w:tcW w:w="1440" w:type="dxa"/>
            <w:tcBorders>
              <w:bottom w:val="single" w:sz="2" w:space="0" w:color="CCCCCC"/>
            </w:tcBorders>
          </w:tcPr>
          <w:p>
            <w:pPr>
              <w:pStyle w:val="CompactTableText"/>
              <w:bidi w:val="0"/>
              <w:spacing w:lineRule="auto" w:line="264" w:before="0" w:after="43"/>
              <w:jc w:val="start"/>
              <w:rPr/>
            </w:pPr>
            <w:r>
              <w:rPr/>
              <w:t>2</w:t>
            </w:r>
          </w:p>
        </w:tc>
        <w:tc>
          <w:tcPr>
            <w:tcW w:w="1440" w:type="dxa"/>
            <w:tcBorders>
              <w:bottom w:val="single" w:sz="2" w:space="0" w:color="CCCCCC"/>
            </w:tcBorders>
          </w:tcPr>
          <w:p>
            <w:pPr>
              <w:pStyle w:val="CompactTableText"/>
              <w:bidi w:val="0"/>
              <w:spacing w:lineRule="auto" w:line="264" w:before="0" w:after="43"/>
              <w:jc w:val="start"/>
              <w:rPr/>
            </w:pPr>
            <w:r>
              <w:rPr/>
              <w:t>Fail</w:t>
            </w:r>
          </w:p>
        </w:tc>
        <w:tc>
          <w:tcPr>
            <w:tcW w:w="1440" w:type="dxa"/>
            <w:tcBorders>
              <w:bottom w:val="single" w:sz="2" w:space="0" w:color="CCCCCC"/>
            </w:tcBorders>
          </w:tcPr>
          <w:p>
            <w:pPr>
              <w:pStyle w:val="CompactTableText"/>
              <w:bidi w:val="0"/>
              <w:spacing w:lineRule="auto" w:line="264" w:before="0" w:after="43"/>
              <w:jc w:val="start"/>
              <w:rPr/>
            </w:pPr>
            <w:r>
              <w:rPr/>
              <w:t>Fail</w:t>
            </w:r>
          </w:p>
        </w:tc>
        <w:tc>
          <w:tcPr>
            <w:tcW w:w="1440" w:type="dxa"/>
            <w:tcBorders>
              <w:bottom w:val="single" w:sz="2" w:space="0" w:color="CCCCCC"/>
            </w:tcBorders>
          </w:tcPr>
          <w:p>
            <w:pPr>
              <w:pStyle w:val="CompactTableText"/>
              <w:bidi w:val="0"/>
              <w:spacing w:lineRule="auto" w:line="264" w:before="0" w:after="43"/>
              <w:jc w:val="start"/>
              <w:rPr/>
            </w:pPr>
            <w:r>
              <w:rPr/>
              <w:t>Fail</w:t>
            </w:r>
          </w:p>
        </w:tc>
      </w:tr>
      <w:tr>
        <w:trPr/>
        <w:tc>
          <w:tcPr>
            <w:tcW w:w="3600" w:type="dxa"/>
            <w:tcBorders>
              <w:bottom w:val="single" w:sz="2" w:space="0" w:color="CCCCCC"/>
            </w:tcBorders>
          </w:tcPr>
          <w:p>
            <w:pPr>
              <w:pStyle w:val="CompactTableText"/>
              <w:bidi w:val="0"/>
              <w:spacing w:lineRule="auto" w:line="264" w:before="0" w:after="43"/>
              <w:jc w:val="start"/>
              <w:rPr/>
            </w:pPr>
            <w:r>
              <w:rPr/>
              <w:t>CP03</w:t>
            </w:r>
          </w:p>
        </w:tc>
        <w:tc>
          <w:tcPr>
            <w:tcW w:w="1440" w:type="dxa"/>
            <w:tcBorders>
              <w:bottom w:val="single" w:sz="2" w:space="0" w:color="CCCCCC"/>
            </w:tcBorders>
          </w:tcPr>
          <w:p>
            <w:pPr>
              <w:pStyle w:val="CompactTableText"/>
              <w:bidi w:val="0"/>
              <w:spacing w:lineRule="auto" w:line="264" w:before="0" w:after="43"/>
              <w:jc w:val="start"/>
              <w:rPr/>
            </w:pPr>
            <w:r>
              <w:rPr/>
              <w:t>1</w:t>
            </w:r>
          </w:p>
        </w:tc>
        <w:tc>
          <w:tcPr>
            <w:tcW w:w="1440" w:type="dxa"/>
            <w:tcBorders>
              <w:bottom w:val="single" w:sz="2" w:space="0" w:color="CCCCCC"/>
            </w:tcBorders>
          </w:tcPr>
          <w:p>
            <w:pPr>
              <w:pStyle w:val="CompactTableText"/>
              <w:bidi w:val="0"/>
              <w:spacing w:lineRule="auto" w:line="264" w:before="0" w:after="43"/>
              <w:jc w:val="start"/>
              <w:rPr/>
            </w:pPr>
            <w:r>
              <w:rPr/>
              <w:t>Pass</w:t>
            </w:r>
          </w:p>
        </w:tc>
        <w:tc>
          <w:tcPr>
            <w:tcW w:w="1440" w:type="dxa"/>
            <w:tcBorders>
              <w:bottom w:val="single" w:sz="2" w:space="0" w:color="CCCCCC"/>
            </w:tcBorders>
          </w:tcPr>
          <w:p>
            <w:pPr>
              <w:pStyle w:val="CompactTableText"/>
              <w:bidi w:val="0"/>
              <w:spacing w:lineRule="auto" w:line="264" w:before="0" w:after="43"/>
              <w:jc w:val="start"/>
              <w:rPr/>
            </w:pPr>
            <w:r>
              <w:rPr/>
              <w:t>Pass</w:t>
            </w:r>
          </w:p>
        </w:tc>
        <w:tc>
          <w:tcPr>
            <w:tcW w:w="1440" w:type="dxa"/>
            <w:tcBorders>
              <w:bottom w:val="single" w:sz="2" w:space="0" w:color="CCCCCC"/>
            </w:tcBorders>
          </w:tcPr>
          <w:p>
            <w:pPr>
              <w:pStyle w:val="CompactTableText"/>
              <w:bidi w:val="0"/>
              <w:spacing w:lineRule="auto" w:line="264" w:before="0" w:after="43"/>
              <w:jc w:val="start"/>
              <w:rPr/>
            </w:pPr>
            <w:r>
              <w:rPr/>
              <w:t>Pass</w:t>
            </w:r>
          </w:p>
        </w:tc>
      </w:tr>
      <w:tr>
        <w:trPr/>
        <w:tc>
          <w:tcPr>
            <w:tcW w:w="3600" w:type="dxa"/>
            <w:tcBorders>
              <w:bottom w:val="single" w:sz="2" w:space="0" w:color="CCCCCC"/>
            </w:tcBorders>
          </w:tcPr>
          <w:p>
            <w:pPr>
              <w:pStyle w:val="CompactTableText"/>
              <w:bidi w:val="0"/>
              <w:spacing w:lineRule="auto" w:line="264" w:before="0" w:after="43"/>
              <w:jc w:val="start"/>
              <w:rPr/>
            </w:pPr>
            <w:r>
              <w:rPr/>
              <w:t>CP04</w:t>
            </w:r>
          </w:p>
        </w:tc>
        <w:tc>
          <w:tcPr>
            <w:tcW w:w="1440" w:type="dxa"/>
            <w:tcBorders>
              <w:bottom w:val="single" w:sz="2" w:space="0" w:color="CCCCCC"/>
            </w:tcBorders>
          </w:tcPr>
          <w:p>
            <w:pPr>
              <w:pStyle w:val="CompactTableText"/>
              <w:bidi w:val="0"/>
              <w:spacing w:lineRule="auto" w:line="264" w:before="0" w:after="43"/>
              <w:jc w:val="start"/>
              <w:rPr/>
            </w:pPr>
            <w:r>
              <w:rPr/>
              <w:t>1</w:t>
            </w:r>
          </w:p>
        </w:tc>
        <w:tc>
          <w:tcPr>
            <w:tcW w:w="1440" w:type="dxa"/>
            <w:tcBorders>
              <w:bottom w:val="single" w:sz="2" w:space="0" w:color="CCCCCC"/>
            </w:tcBorders>
          </w:tcPr>
          <w:p>
            <w:pPr>
              <w:pStyle w:val="CompactTableText"/>
              <w:bidi w:val="0"/>
              <w:spacing w:lineRule="auto" w:line="264" w:before="0" w:after="43"/>
              <w:jc w:val="start"/>
              <w:rPr/>
            </w:pPr>
            <w:r>
              <w:rPr/>
              <w:t>Fail</w:t>
            </w:r>
          </w:p>
        </w:tc>
        <w:tc>
          <w:tcPr>
            <w:tcW w:w="1440" w:type="dxa"/>
            <w:tcBorders>
              <w:bottom w:val="single" w:sz="2" w:space="0" w:color="CCCCCC"/>
            </w:tcBorders>
          </w:tcPr>
          <w:p>
            <w:pPr>
              <w:pStyle w:val="CompactTableText"/>
              <w:bidi w:val="0"/>
              <w:spacing w:lineRule="auto" w:line="264" w:before="0" w:after="43"/>
              <w:jc w:val="start"/>
              <w:rPr/>
            </w:pPr>
            <w:r>
              <w:rPr/>
              <w:t>Fail</w:t>
            </w:r>
          </w:p>
        </w:tc>
        <w:tc>
          <w:tcPr>
            <w:tcW w:w="1440" w:type="dxa"/>
            <w:tcBorders>
              <w:bottom w:val="single" w:sz="2" w:space="0" w:color="CCCCCC"/>
            </w:tcBorders>
          </w:tcPr>
          <w:p>
            <w:pPr>
              <w:pStyle w:val="CompactTableText"/>
              <w:bidi w:val="0"/>
              <w:spacing w:lineRule="auto" w:line="264" w:before="0" w:after="43"/>
              <w:jc w:val="start"/>
              <w:rPr/>
            </w:pPr>
            <w:r>
              <w:rPr/>
              <w:t>Pass</w:t>
            </w:r>
          </w:p>
        </w:tc>
      </w:tr>
      <w:tr>
        <w:trPr/>
        <w:tc>
          <w:tcPr>
            <w:tcW w:w="3600" w:type="dxa"/>
            <w:tcBorders>
              <w:bottom w:val="single" w:sz="2" w:space="0" w:color="CCCCCC"/>
            </w:tcBorders>
          </w:tcPr>
          <w:p>
            <w:pPr>
              <w:pStyle w:val="CompactTableText"/>
              <w:bidi w:val="0"/>
              <w:spacing w:lineRule="auto" w:line="264" w:before="0" w:after="43"/>
              <w:jc w:val="start"/>
              <w:rPr/>
            </w:pPr>
            <w:r>
              <w:rPr/>
              <w:t>CP05</w:t>
            </w:r>
          </w:p>
        </w:tc>
        <w:tc>
          <w:tcPr>
            <w:tcW w:w="1440" w:type="dxa"/>
            <w:tcBorders>
              <w:bottom w:val="single" w:sz="2" w:space="0" w:color="CCCCCC"/>
            </w:tcBorders>
          </w:tcPr>
          <w:p>
            <w:pPr>
              <w:pStyle w:val="CompactTableText"/>
              <w:bidi w:val="0"/>
              <w:spacing w:lineRule="auto" w:line="264" w:before="0" w:after="43"/>
              <w:jc w:val="start"/>
              <w:rPr/>
            </w:pPr>
            <w:r>
              <w:rPr/>
              <w:t>1</w:t>
            </w:r>
          </w:p>
        </w:tc>
        <w:tc>
          <w:tcPr>
            <w:tcW w:w="1440" w:type="dxa"/>
            <w:tcBorders>
              <w:bottom w:val="single" w:sz="2" w:space="0" w:color="CCCCCC"/>
            </w:tcBorders>
          </w:tcPr>
          <w:p>
            <w:pPr>
              <w:pStyle w:val="CompactTableText"/>
              <w:bidi w:val="0"/>
              <w:spacing w:lineRule="auto" w:line="264" w:before="0" w:after="43"/>
              <w:jc w:val="start"/>
              <w:rPr/>
            </w:pPr>
            <w:r>
              <w:rPr/>
              <w:t>Fail</w:t>
            </w:r>
          </w:p>
        </w:tc>
        <w:tc>
          <w:tcPr>
            <w:tcW w:w="1440" w:type="dxa"/>
            <w:tcBorders>
              <w:bottom w:val="single" w:sz="2" w:space="0" w:color="CCCCCC"/>
            </w:tcBorders>
          </w:tcPr>
          <w:p>
            <w:pPr>
              <w:pStyle w:val="CompactTableText"/>
              <w:bidi w:val="0"/>
              <w:spacing w:lineRule="auto" w:line="264" w:before="0" w:after="43"/>
              <w:jc w:val="start"/>
              <w:rPr/>
            </w:pPr>
            <w:r>
              <w:rPr/>
              <w:t>Pass</w:t>
            </w:r>
          </w:p>
        </w:tc>
        <w:tc>
          <w:tcPr>
            <w:tcW w:w="1440" w:type="dxa"/>
            <w:tcBorders>
              <w:bottom w:val="single" w:sz="2" w:space="0" w:color="CCCCCC"/>
            </w:tcBorders>
          </w:tcPr>
          <w:p>
            <w:pPr>
              <w:pStyle w:val="CompactTableText"/>
              <w:bidi w:val="0"/>
              <w:spacing w:lineRule="auto" w:line="264" w:before="0" w:after="43"/>
              <w:jc w:val="start"/>
              <w:rPr/>
            </w:pPr>
            <w:r>
              <w:rPr/>
              <w:t>Fail</w:t>
            </w:r>
          </w:p>
        </w:tc>
      </w:tr>
      <w:tr>
        <w:trPr/>
        <w:tc>
          <w:tcPr>
            <w:tcW w:w="3600" w:type="dxa"/>
            <w:tcBorders>
              <w:bottom w:val="single" w:sz="2" w:space="0" w:color="CCCCCC"/>
            </w:tcBorders>
          </w:tcPr>
          <w:p>
            <w:pPr>
              <w:pStyle w:val="CompactTableText"/>
              <w:bidi w:val="0"/>
              <w:spacing w:lineRule="auto" w:line="264" w:before="0" w:after="43"/>
              <w:jc w:val="start"/>
              <w:rPr/>
            </w:pPr>
            <w:r>
              <w:rPr/>
              <w:t>CP06</w:t>
            </w:r>
          </w:p>
        </w:tc>
        <w:tc>
          <w:tcPr>
            <w:tcW w:w="1440" w:type="dxa"/>
            <w:tcBorders>
              <w:bottom w:val="single" w:sz="2" w:space="0" w:color="CCCCCC"/>
            </w:tcBorders>
          </w:tcPr>
          <w:p>
            <w:pPr>
              <w:pStyle w:val="CompactTableText"/>
              <w:bidi w:val="0"/>
              <w:spacing w:lineRule="auto" w:line="264" w:before="0" w:after="43"/>
              <w:jc w:val="start"/>
              <w:rPr/>
            </w:pPr>
            <w:r>
              <w:rPr/>
              <w:t>1</w:t>
            </w:r>
          </w:p>
        </w:tc>
        <w:tc>
          <w:tcPr>
            <w:tcW w:w="1440" w:type="dxa"/>
            <w:tcBorders>
              <w:bottom w:val="single" w:sz="2" w:space="0" w:color="CCCCCC"/>
            </w:tcBorders>
          </w:tcPr>
          <w:p>
            <w:pPr>
              <w:pStyle w:val="CompactTableText"/>
              <w:bidi w:val="0"/>
              <w:spacing w:lineRule="auto" w:line="264" w:before="0" w:after="43"/>
              <w:jc w:val="start"/>
              <w:rPr/>
            </w:pPr>
            <w:r>
              <w:rPr/>
              <w:t>Pass</w:t>
            </w:r>
          </w:p>
        </w:tc>
        <w:tc>
          <w:tcPr>
            <w:tcW w:w="1440" w:type="dxa"/>
            <w:tcBorders>
              <w:bottom w:val="single" w:sz="2" w:space="0" w:color="CCCCCC"/>
            </w:tcBorders>
          </w:tcPr>
          <w:p>
            <w:pPr>
              <w:pStyle w:val="CompactTableText"/>
              <w:bidi w:val="0"/>
              <w:spacing w:lineRule="auto" w:line="264" w:before="0" w:after="43"/>
              <w:jc w:val="start"/>
              <w:rPr/>
            </w:pPr>
            <w:r>
              <w:rPr/>
              <w:t>Pass</w:t>
            </w:r>
          </w:p>
        </w:tc>
        <w:tc>
          <w:tcPr>
            <w:tcW w:w="1440" w:type="dxa"/>
            <w:tcBorders>
              <w:bottom w:val="single" w:sz="2" w:space="0" w:color="CCCCCC"/>
            </w:tcBorders>
          </w:tcPr>
          <w:p>
            <w:pPr>
              <w:pStyle w:val="CompactTableText"/>
              <w:bidi w:val="0"/>
              <w:spacing w:lineRule="auto" w:line="264" w:before="0" w:after="43"/>
              <w:jc w:val="start"/>
              <w:rPr/>
            </w:pPr>
            <w:r>
              <w:rPr/>
              <w:t>Pass</w:t>
            </w:r>
          </w:p>
        </w:tc>
      </w:tr>
      <w:tr>
        <w:trPr/>
        <w:tc>
          <w:tcPr>
            <w:tcW w:w="3600" w:type="dxa"/>
            <w:tcBorders>
              <w:bottom w:val="single" w:sz="2" w:space="0" w:color="CCCCCC"/>
            </w:tcBorders>
          </w:tcPr>
          <w:p>
            <w:pPr>
              <w:pStyle w:val="CompactTableText"/>
              <w:bidi w:val="0"/>
              <w:spacing w:lineRule="auto" w:line="264" w:before="0" w:after="43"/>
              <w:jc w:val="start"/>
              <w:rPr/>
            </w:pPr>
            <w:r>
              <w:rPr/>
              <w:t>CP07</w:t>
            </w:r>
          </w:p>
        </w:tc>
        <w:tc>
          <w:tcPr>
            <w:tcW w:w="1440" w:type="dxa"/>
            <w:tcBorders>
              <w:bottom w:val="single" w:sz="2" w:space="0" w:color="CCCCCC"/>
            </w:tcBorders>
          </w:tcPr>
          <w:p>
            <w:pPr>
              <w:pStyle w:val="CompactTableText"/>
              <w:bidi w:val="0"/>
              <w:spacing w:lineRule="auto" w:line="264" w:before="0" w:after="43"/>
              <w:jc w:val="start"/>
              <w:rPr/>
            </w:pPr>
            <w:r>
              <w:rPr/>
              <w:t>1</w:t>
            </w:r>
          </w:p>
        </w:tc>
        <w:tc>
          <w:tcPr>
            <w:tcW w:w="1440" w:type="dxa"/>
            <w:tcBorders>
              <w:bottom w:val="single" w:sz="2" w:space="0" w:color="CCCCCC"/>
            </w:tcBorders>
          </w:tcPr>
          <w:p>
            <w:pPr>
              <w:pStyle w:val="CompactTableText"/>
              <w:bidi w:val="0"/>
              <w:spacing w:lineRule="auto" w:line="264" w:before="0" w:after="43"/>
              <w:jc w:val="start"/>
              <w:rPr/>
            </w:pPr>
            <w:r>
              <w:rPr/>
              <w:t>Fail</w:t>
            </w:r>
          </w:p>
        </w:tc>
        <w:tc>
          <w:tcPr>
            <w:tcW w:w="1440" w:type="dxa"/>
            <w:tcBorders>
              <w:bottom w:val="single" w:sz="2" w:space="0" w:color="CCCCCC"/>
            </w:tcBorders>
          </w:tcPr>
          <w:p>
            <w:pPr>
              <w:pStyle w:val="CompactTableText"/>
              <w:bidi w:val="0"/>
              <w:spacing w:lineRule="auto" w:line="264" w:before="0" w:after="43"/>
              <w:jc w:val="start"/>
              <w:rPr/>
            </w:pPr>
            <w:r>
              <w:rPr/>
              <w:t>Pass</w:t>
            </w:r>
          </w:p>
        </w:tc>
        <w:tc>
          <w:tcPr>
            <w:tcW w:w="1440" w:type="dxa"/>
            <w:tcBorders>
              <w:bottom w:val="single" w:sz="2" w:space="0" w:color="CCCCCC"/>
            </w:tcBorders>
          </w:tcPr>
          <w:p>
            <w:pPr>
              <w:pStyle w:val="CompactTableText"/>
              <w:bidi w:val="0"/>
              <w:spacing w:lineRule="auto" w:line="264" w:before="0" w:after="43"/>
              <w:jc w:val="start"/>
              <w:rPr/>
            </w:pPr>
            <w:r>
              <w:rPr/>
              <w:t>Pass</w:t>
            </w:r>
          </w:p>
        </w:tc>
      </w:tr>
      <w:tr>
        <w:trPr/>
        <w:tc>
          <w:tcPr>
            <w:tcW w:w="3600" w:type="dxa"/>
            <w:tcBorders>
              <w:bottom w:val="single" w:sz="2" w:space="0" w:color="CCCCCC"/>
            </w:tcBorders>
          </w:tcPr>
          <w:p>
            <w:pPr>
              <w:pStyle w:val="CompactTableText"/>
              <w:bidi w:val="0"/>
              <w:spacing w:lineRule="auto" w:line="264" w:before="0" w:after="43"/>
              <w:jc w:val="start"/>
              <w:rPr/>
            </w:pPr>
            <w:r>
              <w:rPr/>
              <w:t>CP08</w:t>
            </w:r>
          </w:p>
        </w:tc>
        <w:tc>
          <w:tcPr>
            <w:tcW w:w="1440" w:type="dxa"/>
            <w:tcBorders>
              <w:bottom w:val="single" w:sz="2" w:space="0" w:color="CCCCCC"/>
            </w:tcBorders>
          </w:tcPr>
          <w:p>
            <w:pPr>
              <w:pStyle w:val="CompactTableText"/>
              <w:bidi w:val="0"/>
              <w:spacing w:lineRule="auto" w:line="264" w:before="0" w:after="43"/>
              <w:jc w:val="start"/>
              <w:rPr/>
            </w:pPr>
            <w:r>
              <w:rPr/>
              <w:t>2</w:t>
            </w:r>
          </w:p>
        </w:tc>
        <w:tc>
          <w:tcPr>
            <w:tcW w:w="1440" w:type="dxa"/>
            <w:tcBorders>
              <w:bottom w:val="single" w:sz="2" w:space="0" w:color="CCCCCC"/>
            </w:tcBorders>
          </w:tcPr>
          <w:p>
            <w:pPr>
              <w:pStyle w:val="CompactTableText"/>
              <w:bidi w:val="0"/>
              <w:spacing w:lineRule="auto" w:line="264" w:before="0" w:after="43"/>
              <w:jc w:val="start"/>
              <w:rPr/>
            </w:pPr>
            <w:r>
              <w:rPr/>
              <w:t>Fail</w:t>
            </w:r>
          </w:p>
        </w:tc>
        <w:tc>
          <w:tcPr>
            <w:tcW w:w="1440" w:type="dxa"/>
            <w:tcBorders>
              <w:bottom w:val="single" w:sz="2" w:space="0" w:color="CCCCCC"/>
            </w:tcBorders>
          </w:tcPr>
          <w:p>
            <w:pPr>
              <w:pStyle w:val="CompactTableText"/>
              <w:bidi w:val="0"/>
              <w:spacing w:lineRule="auto" w:line="264" w:before="0" w:after="43"/>
              <w:jc w:val="start"/>
              <w:rPr/>
            </w:pPr>
            <w:r>
              <w:rPr/>
              <w:t>Pass</w:t>
            </w:r>
          </w:p>
        </w:tc>
        <w:tc>
          <w:tcPr>
            <w:tcW w:w="1440" w:type="dxa"/>
            <w:tcBorders>
              <w:bottom w:val="single" w:sz="2" w:space="0" w:color="CCCCCC"/>
            </w:tcBorders>
          </w:tcPr>
          <w:p>
            <w:pPr>
              <w:pStyle w:val="CompactTableText"/>
              <w:bidi w:val="0"/>
              <w:spacing w:lineRule="auto" w:line="264" w:before="0" w:after="43"/>
              <w:jc w:val="start"/>
              <w:rPr/>
            </w:pPr>
            <w:r>
              <w:rPr/>
              <w:t>Pass</w:t>
            </w:r>
          </w:p>
        </w:tc>
      </w:tr>
      <w:tr>
        <w:trPr/>
        <w:tc>
          <w:tcPr>
            <w:tcW w:w="3600" w:type="dxa"/>
            <w:tcBorders>
              <w:bottom w:val="single" w:sz="2" w:space="0" w:color="CCCCCC"/>
            </w:tcBorders>
          </w:tcPr>
          <w:p>
            <w:pPr>
              <w:pStyle w:val="CompactTableText"/>
              <w:bidi w:val="0"/>
              <w:spacing w:lineRule="auto" w:line="264" w:before="0" w:after="43"/>
              <w:jc w:val="start"/>
              <w:rPr/>
            </w:pPr>
            <w:r>
              <w:rPr/>
              <w:t>CP09</w:t>
            </w:r>
          </w:p>
        </w:tc>
        <w:tc>
          <w:tcPr>
            <w:tcW w:w="1440" w:type="dxa"/>
            <w:tcBorders>
              <w:bottom w:val="single" w:sz="2" w:space="0" w:color="CCCCCC"/>
            </w:tcBorders>
          </w:tcPr>
          <w:p>
            <w:pPr>
              <w:pStyle w:val="CompactTableText"/>
              <w:bidi w:val="0"/>
              <w:spacing w:lineRule="auto" w:line="264" w:before="0" w:after="43"/>
              <w:jc w:val="start"/>
              <w:rPr/>
            </w:pPr>
            <w:r>
              <w:rPr/>
              <w:t>2</w:t>
            </w:r>
          </w:p>
        </w:tc>
        <w:tc>
          <w:tcPr>
            <w:tcW w:w="1440" w:type="dxa"/>
            <w:tcBorders>
              <w:bottom w:val="single" w:sz="2" w:space="0" w:color="CCCCCC"/>
            </w:tcBorders>
          </w:tcPr>
          <w:p>
            <w:pPr>
              <w:pStyle w:val="CompactTableText"/>
              <w:bidi w:val="0"/>
              <w:spacing w:lineRule="auto" w:line="264" w:before="0" w:after="43"/>
              <w:jc w:val="start"/>
              <w:rPr/>
            </w:pPr>
            <w:r>
              <w:rPr/>
              <w:t>Fail</w:t>
            </w:r>
          </w:p>
        </w:tc>
        <w:tc>
          <w:tcPr>
            <w:tcW w:w="1440" w:type="dxa"/>
            <w:tcBorders>
              <w:bottom w:val="single" w:sz="2" w:space="0" w:color="CCCCCC"/>
            </w:tcBorders>
          </w:tcPr>
          <w:p>
            <w:pPr>
              <w:pStyle w:val="CompactTableText"/>
              <w:bidi w:val="0"/>
              <w:spacing w:lineRule="auto" w:line="264" w:before="0" w:after="43"/>
              <w:jc w:val="start"/>
              <w:rPr/>
            </w:pPr>
            <w:r>
              <w:rPr/>
              <w:t>Pass</w:t>
            </w:r>
          </w:p>
        </w:tc>
        <w:tc>
          <w:tcPr>
            <w:tcW w:w="1440" w:type="dxa"/>
            <w:tcBorders>
              <w:bottom w:val="single" w:sz="2" w:space="0" w:color="CCCCCC"/>
            </w:tcBorders>
          </w:tcPr>
          <w:p>
            <w:pPr>
              <w:pStyle w:val="CompactTableText"/>
              <w:bidi w:val="0"/>
              <w:spacing w:lineRule="auto" w:line="264" w:before="0" w:after="43"/>
              <w:jc w:val="start"/>
              <w:rPr/>
            </w:pPr>
            <w:r>
              <w:rPr/>
              <w:t>Pass</w:t>
            </w:r>
          </w:p>
        </w:tc>
      </w:tr>
      <w:tr>
        <w:trPr/>
        <w:tc>
          <w:tcPr>
            <w:tcW w:w="3600" w:type="dxa"/>
            <w:tcBorders>
              <w:bottom w:val="single" w:sz="2" w:space="0" w:color="CCCCCC"/>
            </w:tcBorders>
          </w:tcPr>
          <w:p>
            <w:pPr>
              <w:pStyle w:val="CompactTableText"/>
              <w:bidi w:val="0"/>
              <w:spacing w:lineRule="auto" w:line="264" w:before="0" w:after="43"/>
              <w:jc w:val="start"/>
              <w:rPr/>
            </w:pPr>
            <w:r>
              <w:rPr/>
              <w:t>CP10</w:t>
            </w:r>
          </w:p>
        </w:tc>
        <w:tc>
          <w:tcPr>
            <w:tcW w:w="1440" w:type="dxa"/>
            <w:tcBorders>
              <w:bottom w:val="single" w:sz="2" w:space="0" w:color="CCCCCC"/>
            </w:tcBorders>
          </w:tcPr>
          <w:p>
            <w:pPr>
              <w:pStyle w:val="CompactTableText"/>
              <w:bidi w:val="0"/>
              <w:spacing w:lineRule="auto" w:line="264" w:before="0" w:after="43"/>
              <w:jc w:val="start"/>
              <w:rPr/>
            </w:pPr>
            <w:r>
              <w:rPr/>
              <w:t>2</w:t>
            </w:r>
          </w:p>
        </w:tc>
        <w:tc>
          <w:tcPr>
            <w:tcW w:w="1440" w:type="dxa"/>
            <w:tcBorders>
              <w:bottom w:val="single" w:sz="2" w:space="0" w:color="CCCCCC"/>
            </w:tcBorders>
          </w:tcPr>
          <w:p>
            <w:pPr>
              <w:pStyle w:val="CompactTableText"/>
              <w:bidi w:val="0"/>
              <w:spacing w:lineRule="auto" w:line="264" w:before="0" w:after="43"/>
              <w:jc w:val="start"/>
              <w:rPr/>
            </w:pPr>
            <w:r>
              <w:rPr/>
              <w:t>Fail</w:t>
            </w:r>
          </w:p>
        </w:tc>
        <w:tc>
          <w:tcPr>
            <w:tcW w:w="1440" w:type="dxa"/>
            <w:tcBorders>
              <w:bottom w:val="single" w:sz="2" w:space="0" w:color="CCCCCC"/>
            </w:tcBorders>
          </w:tcPr>
          <w:p>
            <w:pPr>
              <w:pStyle w:val="CompactTableText"/>
              <w:bidi w:val="0"/>
              <w:spacing w:lineRule="auto" w:line="264" w:before="0" w:after="43"/>
              <w:jc w:val="start"/>
              <w:rPr/>
            </w:pPr>
            <w:r>
              <w:rPr/>
              <w:t>Pass</w:t>
            </w:r>
          </w:p>
        </w:tc>
        <w:tc>
          <w:tcPr>
            <w:tcW w:w="1440" w:type="dxa"/>
            <w:tcBorders>
              <w:bottom w:val="single" w:sz="2" w:space="0" w:color="CCCCCC"/>
            </w:tcBorders>
          </w:tcPr>
          <w:p>
            <w:pPr>
              <w:pStyle w:val="CompactTableText"/>
              <w:bidi w:val="0"/>
              <w:spacing w:lineRule="auto" w:line="264" w:before="0" w:after="43"/>
              <w:jc w:val="start"/>
              <w:rPr/>
            </w:pPr>
            <w:r>
              <w:rPr/>
              <w:t>Pass</w:t>
            </w:r>
          </w:p>
        </w:tc>
      </w:tr>
      <w:tr>
        <w:trPr/>
        <w:tc>
          <w:tcPr>
            <w:tcW w:w="3600" w:type="dxa"/>
            <w:tcBorders>
              <w:bottom w:val="single" w:sz="2" w:space="0" w:color="CCCCCC"/>
            </w:tcBorders>
          </w:tcPr>
          <w:p>
            <w:pPr>
              <w:pStyle w:val="CompactTableText"/>
              <w:bidi w:val="0"/>
              <w:spacing w:lineRule="auto" w:line="264" w:before="0" w:after="43"/>
              <w:jc w:val="start"/>
              <w:rPr/>
            </w:pPr>
            <w:r>
              <w:rPr/>
              <w:t>CP11</w:t>
            </w:r>
          </w:p>
        </w:tc>
        <w:tc>
          <w:tcPr>
            <w:tcW w:w="1440" w:type="dxa"/>
            <w:tcBorders>
              <w:bottom w:val="single" w:sz="2" w:space="0" w:color="CCCCCC"/>
            </w:tcBorders>
          </w:tcPr>
          <w:p>
            <w:pPr>
              <w:pStyle w:val="CompactTableText"/>
              <w:bidi w:val="0"/>
              <w:spacing w:lineRule="auto" w:line="264" w:before="0" w:after="43"/>
              <w:jc w:val="start"/>
              <w:rPr/>
            </w:pPr>
            <w:r>
              <w:rPr/>
              <w:t>2</w:t>
            </w:r>
          </w:p>
        </w:tc>
        <w:tc>
          <w:tcPr>
            <w:tcW w:w="1440" w:type="dxa"/>
            <w:tcBorders>
              <w:bottom w:val="single" w:sz="2" w:space="0" w:color="CCCCCC"/>
            </w:tcBorders>
          </w:tcPr>
          <w:p>
            <w:pPr>
              <w:pStyle w:val="CompactTableText"/>
              <w:bidi w:val="0"/>
              <w:spacing w:lineRule="auto" w:line="264" w:before="0" w:after="43"/>
              <w:jc w:val="start"/>
              <w:rPr/>
            </w:pPr>
            <w:r>
              <w:rPr/>
              <w:t>Fail</w:t>
            </w:r>
          </w:p>
        </w:tc>
        <w:tc>
          <w:tcPr>
            <w:tcW w:w="1440" w:type="dxa"/>
            <w:tcBorders>
              <w:bottom w:val="single" w:sz="2" w:space="0" w:color="CCCCCC"/>
            </w:tcBorders>
          </w:tcPr>
          <w:p>
            <w:pPr>
              <w:pStyle w:val="CompactTableText"/>
              <w:bidi w:val="0"/>
              <w:spacing w:lineRule="auto" w:line="264" w:before="0" w:after="43"/>
              <w:jc w:val="start"/>
              <w:rPr/>
            </w:pPr>
            <w:r>
              <w:rPr/>
              <w:t>Pass</w:t>
            </w:r>
          </w:p>
        </w:tc>
        <w:tc>
          <w:tcPr>
            <w:tcW w:w="1440" w:type="dxa"/>
            <w:tcBorders>
              <w:bottom w:val="single" w:sz="2" w:space="0" w:color="CCCCCC"/>
            </w:tcBorders>
          </w:tcPr>
          <w:p>
            <w:pPr>
              <w:pStyle w:val="CompactTableText"/>
              <w:bidi w:val="0"/>
              <w:spacing w:lineRule="auto" w:line="264" w:before="0" w:after="43"/>
              <w:jc w:val="start"/>
              <w:rPr/>
            </w:pPr>
            <w:r>
              <w:rPr/>
              <w:t>Pass</w:t>
            </w:r>
          </w:p>
        </w:tc>
      </w:tr>
      <w:tr>
        <w:trPr/>
        <w:tc>
          <w:tcPr>
            <w:tcW w:w="3600" w:type="dxa"/>
            <w:tcBorders>
              <w:bottom w:val="single" w:sz="2" w:space="0" w:color="CCCCCC"/>
            </w:tcBorders>
          </w:tcPr>
          <w:p>
            <w:pPr>
              <w:pStyle w:val="CompactTableText"/>
              <w:bidi w:val="0"/>
              <w:spacing w:lineRule="auto" w:line="264" w:before="0" w:after="43"/>
              <w:jc w:val="start"/>
              <w:rPr/>
            </w:pPr>
            <w:r>
              <w:rPr/>
              <w:t>CP12</w:t>
            </w:r>
          </w:p>
        </w:tc>
        <w:tc>
          <w:tcPr>
            <w:tcW w:w="1440" w:type="dxa"/>
            <w:tcBorders>
              <w:bottom w:val="single" w:sz="2" w:space="0" w:color="CCCCCC"/>
            </w:tcBorders>
          </w:tcPr>
          <w:p>
            <w:pPr>
              <w:pStyle w:val="CompactTableText"/>
              <w:bidi w:val="0"/>
              <w:spacing w:lineRule="auto" w:line="264" w:before="0" w:after="43"/>
              <w:jc w:val="start"/>
              <w:rPr/>
            </w:pPr>
            <w:r>
              <w:rPr/>
              <w:t>2</w:t>
            </w:r>
          </w:p>
        </w:tc>
        <w:tc>
          <w:tcPr>
            <w:tcW w:w="1440" w:type="dxa"/>
            <w:tcBorders>
              <w:bottom w:val="single" w:sz="2" w:space="0" w:color="CCCCCC"/>
            </w:tcBorders>
          </w:tcPr>
          <w:p>
            <w:pPr>
              <w:pStyle w:val="CompactTableText"/>
              <w:bidi w:val="0"/>
              <w:spacing w:lineRule="auto" w:line="264" w:before="0" w:after="43"/>
              <w:jc w:val="start"/>
              <w:rPr/>
            </w:pPr>
            <w:r>
              <w:rPr/>
              <w:t>Fail</w:t>
            </w:r>
          </w:p>
        </w:tc>
        <w:tc>
          <w:tcPr>
            <w:tcW w:w="1440" w:type="dxa"/>
            <w:tcBorders>
              <w:bottom w:val="single" w:sz="2" w:space="0" w:color="CCCCCC"/>
            </w:tcBorders>
          </w:tcPr>
          <w:p>
            <w:pPr>
              <w:pStyle w:val="CompactTableText"/>
              <w:bidi w:val="0"/>
              <w:spacing w:lineRule="auto" w:line="264" w:before="0" w:after="43"/>
              <w:jc w:val="start"/>
              <w:rPr/>
            </w:pPr>
            <w:r>
              <w:rPr/>
              <w:t>Pass</w:t>
            </w:r>
          </w:p>
        </w:tc>
        <w:tc>
          <w:tcPr>
            <w:tcW w:w="1440" w:type="dxa"/>
            <w:tcBorders>
              <w:bottom w:val="single" w:sz="2" w:space="0" w:color="CCCCCC"/>
            </w:tcBorders>
          </w:tcPr>
          <w:p>
            <w:pPr>
              <w:pStyle w:val="CompactTableText"/>
              <w:bidi w:val="0"/>
              <w:spacing w:lineRule="auto" w:line="264" w:before="0" w:after="43"/>
              <w:jc w:val="start"/>
              <w:rPr/>
            </w:pPr>
            <w:r>
              <w:rPr/>
              <w:t>Fail</w:t>
            </w:r>
          </w:p>
        </w:tc>
      </w:tr>
    </w:tbl>
    <w:p>
      <w:pPr>
        <w:sectPr>
          <w:type w:val="nextPage"/>
          <w:pgSz w:w="12240" w:h="15840"/>
          <w:pgMar w:left="1440" w:right="1440" w:gutter="0" w:header="0" w:top="1440" w:footer="0" w:bottom="1440"/>
          <w:pgNumType w:fmt="decimal"/>
          <w:formProt w:val="false"/>
          <w:textDirection w:val="lrTb"/>
          <w:docGrid w:type="default" w:linePitch="600" w:charSpace="32768"/>
        </w:sectPr>
      </w:pPr>
    </w:p>
    <w:p>
      <w:pPr>
        <w:pStyle w:val="LandscapeFigureHeading"/>
        <w:bidi w:val="0"/>
        <w:jc w:val="start"/>
        <w:rPr/>
      </w:pPr>
      <w:r>
        <w:rPr/>
        <w:t>Appendix F. Exploratory head-bolt checks</w:t>
      </w:r>
    </w:p>
    <w:p>
      <w:pPr>
        <w:pStyle w:val="TableCaption"/>
        <w:keepNext w:val="true"/>
        <w:bidi w:val="0"/>
        <w:jc w:val="start"/>
        <w:rPr/>
      </w:pPr>
      <w:r>
        <w:rPr/>
        <w:t>Table 34. Appendix F. Exploratory head-bolt checks</w:t>
      </w:r>
    </w:p>
    <w:tbl>
      <w:tblPr>
        <w:tblW w:w="12960" w:type="dxa"/>
        <w:jc w:val="start"/>
        <w:tblInd w:w="0" w:type="dxa"/>
        <w:tblLayout w:type="fixed"/>
        <w:tblCellMar>
          <w:top w:w="58" w:type="dxa"/>
          <w:start w:w="58" w:type="dxa"/>
          <w:bottom w:w="58" w:type="dxa"/>
          <w:end w:w="58" w:type="dxa"/>
        </w:tblCellMar>
      </w:tblPr>
      <w:tblGrid>
        <w:gridCol w:w="2160"/>
        <w:gridCol w:w="3600"/>
        <w:gridCol w:w="3600"/>
        <w:gridCol w:w="3600"/>
      </w:tblGrid>
      <w:tr>
        <w:trPr/>
        <w:tc>
          <w:tcPr>
            <w:tcW w:w="2160" w:type="dxa"/>
            <w:tcBorders>
              <w:bottom w:val="single" w:sz="2" w:space="0" w:color="CCCCCC"/>
            </w:tcBorders>
          </w:tcPr>
          <w:p>
            <w:pPr>
              <w:pStyle w:val="CompactTableText"/>
              <w:bidi w:val="0"/>
              <w:spacing w:lineRule="auto" w:line="264" w:before="0" w:after="43"/>
              <w:jc w:val="start"/>
              <w:rPr/>
            </w:pPr>
            <w:r>
              <w:rPr>
                <w:rStyle w:val="Tb"/>
              </w:rPr>
              <w:t>Head-bolt position</w:t>
            </w:r>
          </w:p>
        </w:tc>
        <w:tc>
          <w:tcPr>
            <w:tcW w:w="3600" w:type="dxa"/>
            <w:tcBorders>
              <w:bottom w:val="single" w:sz="2" w:space="0" w:color="CCCCCC"/>
            </w:tcBorders>
          </w:tcPr>
          <w:p>
            <w:pPr>
              <w:pStyle w:val="CompactTableText"/>
              <w:bidi w:val="0"/>
              <w:spacing w:lineRule="auto" w:line="264" w:before="0" w:after="43"/>
              <w:jc w:val="start"/>
              <w:rPr/>
            </w:pPr>
            <w:r>
              <w:rPr>
                <w:rStyle w:val="Tb"/>
              </w:rPr>
              <w:t>GPT-6.1-Sol</w:t>
            </w:r>
          </w:p>
        </w:tc>
        <w:tc>
          <w:tcPr>
            <w:tcW w:w="3600" w:type="dxa"/>
            <w:tcBorders>
              <w:bottom w:val="single" w:sz="2" w:space="0" w:color="CCCCCC"/>
            </w:tcBorders>
          </w:tcPr>
          <w:p>
            <w:pPr>
              <w:pStyle w:val="CompactTableText"/>
              <w:bidi w:val="0"/>
              <w:spacing w:lineRule="auto" w:line="264" w:before="0" w:after="43"/>
              <w:jc w:val="start"/>
              <w:rPr/>
            </w:pPr>
            <w:r>
              <w:rPr>
                <w:rStyle w:val="Tb"/>
              </w:rPr>
              <w:t>GPT-6-Astra</w:t>
            </w:r>
          </w:p>
        </w:tc>
        <w:tc>
          <w:tcPr>
            <w:tcW w:w="3600" w:type="dxa"/>
            <w:tcBorders>
              <w:bottom w:val="single" w:sz="2" w:space="0" w:color="CCCCCC"/>
            </w:tcBorders>
          </w:tcPr>
          <w:p>
            <w:pPr>
              <w:pStyle w:val="CompactTableText"/>
              <w:bidi w:val="0"/>
              <w:spacing w:lineRule="auto" w:line="264" w:before="0" w:after="43"/>
              <w:jc w:val="start"/>
              <w:rPr/>
            </w:pPr>
            <w:r>
              <w:rPr>
                <w:rStyle w:val="Tb"/>
              </w:rPr>
              <w:t>GPT-6-Luna</w:t>
            </w:r>
          </w:p>
        </w:tc>
      </w:tr>
      <w:tr>
        <w:trPr/>
        <w:tc>
          <w:tcPr>
            <w:tcW w:w="2160" w:type="dxa"/>
            <w:tcBorders>
              <w:bottom w:val="single" w:sz="2" w:space="0" w:color="CCCCCC"/>
            </w:tcBorders>
          </w:tcPr>
          <w:p>
            <w:pPr>
              <w:pStyle w:val="CompactTableText"/>
              <w:bidi w:val="0"/>
              <w:spacing w:lineRule="auto" w:line="264" w:before="0" w:after="43"/>
              <w:jc w:val="start"/>
              <w:rPr/>
            </w:pPr>
            <w:r>
              <w:rPr/>
              <w:t>hb01</w:t>
            </w:r>
          </w:p>
        </w:tc>
        <w:tc>
          <w:tcPr>
            <w:tcW w:w="3600" w:type="dxa"/>
            <w:tcBorders>
              <w:bottom w:val="single" w:sz="2" w:space="0" w:color="CCCCCC"/>
            </w:tcBorders>
          </w:tcPr>
          <w:p>
            <w:pPr>
              <w:pStyle w:val="CompactTableText"/>
              <w:bidi w:val="0"/>
              <w:spacing w:lineRule="auto" w:line="264" w:before="0" w:after="43"/>
              <w:jc w:val="start"/>
              <w:rPr/>
            </w:pPr>
            <w:r>
              <w:rPr/>
              <w:t>0/6</w:t>
            </w:r>
          </w:p>
        </w:tc>
        <w:tc>
          <w:tcPr>
            <w:tcW w:w="3600" w:type="dxa"/>
            <w:tcBorders>
              <w:bottom w:val="single" w:sz="2" w:space="0" w:color="CCCCCC"/>
            </w:tcBorders>
          </w:tcPr>
          <w:p>
            <w:pPr>
              <w:pStyle w:val="CompactTableText"/>
              <w:bidi w:val="0"/>
              <w:spacing w:lineRule="auto" w:line="264" w:before="0" w:after="43"/>
              <w:jc w:val="start"/>
              <w:rPr/>
            </w:pPr>
            <w:r>
              <w:rPr/>
              <w:t>6/6</w:t>
            </w:r>
          </w:p>
        </w:tc>
        <w:tc>
          <w:tcPr>
            <w:tcW w:w="3600" w:type="dxa"/>
            <w:tcBorders>
              <w:bottom w:val="single" w:sz="2" w:space="0" w:color="CCCCCC"/>
            </w:tcBorders>
          </w:tcPr>
          <w:p>
            <w:pPr>
              <w:pStyle w:val="CompactTableText"/>
              <w:bidi w:val="0"/>
              <w:spacing w:lineRule="auto" w:line="264" w:before="0" w:after="43"/>
              <w:jc w:val="start"/>
              <w:rPr/>
            </w:pPr>
            <w:r>
              <w:rPr/>
              <w:t>6/6</w:t>
            </w:r>
          </w:p>
        </w:tc>
      </w:tr>
      <w:tr>
        <w:trPr/>
        <w:tc>
          <w:tcPr>
            <w:tcW w:w="2160" w:type="dxa"/>
            <w:tcBorders>
              <w:bottom w:val="single" w:sz="2" w:space="0" w:color="CCCCCC"/>
            </w:tcBorders>
          </w:tcPr>
          <w:p>
            <w:pPr>
              <w:pStyle w:val="CompactTableText"/>
              <w:bidi w:val="0"/>
              <w:spacing w:lineRule="auto" w:line="264" w:before="0" w:after="43"/>
              <w:jc w:val="start"/>
              <w:rPr/>
            </w:pPr>
            <w:r>
              <w:rPr/>
              <w:t>hb02</w:t>
            </w:r>
          </w:p>
        </w:tc>
        <w:tc>
          <w:tcPr>
            <w:tcW w:w="3600" w:type="dxa"/>
            <w:tcBorders>
              <w:bottom w:val="single" w:sz="2" w:space="0" w:color="CCCCCC"/>
            </w:tcBorders>
          </w:tcPr>
          <w:p>
            <w:pPr>
              <w:pStyle w:val="CompactTableText"/>
              <w:bidi w:val="0"/>
              <w:spacing w:lineRule="auto" w:line="264" w:before="0" w:after="43"/>
              <w:jc w:val="start"/>
              <w:rPr/>
            </w:pPr>
            <w:r>
              <w:rPr/>
              <w:t>0/6</w:t>
            </w:r>
          </w:p>
        </w:tc>
        <w:tc>
          <w:tcPr>
            <w:tcW w:w="3600" w:type="dxa"/>
            <w:tcBorders>
              <w:bottom w:val="single" w:sz="2" w:space="0" w:color="CCCCCC"/>
            </w:tcBorders>
          </w:tcPr>
          <w:p>
            <w:pPr>
              <w:pStyle w:val="CompactTableText"/>
              <w:bidi w:val="0"/>
              <w:spacing w:lineRule="auto" w:line="264" w:before="0" w:after="43"/>
              <w:jc w:val="start"/>
              <w:rPr/>
            </w:pPr>
            <w:r>
              <w:rPr/>
              <w:t>6/6</w:t>
            </w:r>
          </w:p>
        </w:tc>
        <w:tc>
          <w:tcPr>
            <w:tcW w:w="3600" w:type="dxa"/>
            <w:tcBorders>
              <w:bottom w:val="single" w:sz="2" w:space="0" w:color="CCCCCC"/>
            </w:tcBorders>
          </w:tcPr>
          <w:p>
            <w:pPr>
              <w:pStyle w:val="CompactTableText"/>
              <w:bidi w:val="0"/>
              <w:spacing w:lineRule="auto" w:line="264" w:before="0" w:after="43"/>
              <w:jc w:val="start"/>
              <w:rPr/>
            </w:pPr>
            <w:r>
              <w:rPr/>
              <w:t>6/6</w:t>
            </w:r>
          </w:p>
        </w:tc>
      </w:tr>
      <w:tr>
        <w:trPr/>
        <w:tc>
          <w:tcPr>
            <w:tcW w:w="2160" w:type="dxa"/>
            <w:tcBorders>
              <w:bottom w:val="single" w:sz="2" w:space="0" w:color="CCCCCC"/>
            </w:tcBorders>
          </w:tcPr>
          <w:p>
            <w:pPr>
              <w:pStyle w:val="CompactTableText"/>
              <w:bidi w:val="0"/>
              <w:spacing w:lineRule="auto" w:line="264" w:before="0" w:after="43"/>
              <w:jc w:val="start"/>
              <w:rPr/>
            </w:pPr>
            <w:r>
              <w:rPr/>
              <w:t>hb03</w:t>
            </w:r>
          </w:p>
        </w:tc>
        <w:tc>
          <w:tcPr>
            <w:tcW w:w="3600" w:type="dxa"/>
            <w:tcBorders>
              <w:bottom w:val="single" w:sz="2" w:space="0" w:color="CCCCCC"/>
            </w:tcBorders>
          </w:tcPr>
          <w:p>
            <w:pPr>
              <w:pStyle w:val="CompactTableText"/>
              <w:bidi w:val="0"/>
              <w:spacing w:lineRule="auto" w:line="264" w:before="0" w:after="43"/>
              <w:jc w:val="start"/>
              <w:rPr/>
            </w:pPr>
            <w:r>
              <w:rPr/>
              <w:t>0/6</w:t>
            </w:r>
          </w:p>
        </w:tc>
        <w:tc>
          <w:tcPr>
            <w:tcW w:w="3600" w:type="dxa"/>
            <w:tcBorders>
              <w:bottom w:val="single" w:sz="2" w:space="0" w:color="CCCCCC"/>
            </w:tcBorders>
          </w:tcPr>
          <w:p>
            <w:pPr>
              <w:pStyle w:val="CompactTableText"/>
              <w:bidi w:val="0"/>
              <w:spacing w:lineRule="auto" w:line="264" w:before="0" w:after="43"/>
              <w:jc w:val="start"/>
              <w:rPr/>
            </w:pPr>
            <w:r>
              <w:rPr/>
              <w:t>6/6</w:t>
            </w:r>
          </w:p>
        </w:tc>
        <w:tc>
          <w:tcPr>
            <w:tcW w:w="3600" w:type="dxa"/>
            <w:tcBorders>
              <w:bottom w:val="single" w:sz="2" w:space="0" w:color="CCCCCC"/>
            </w:tcBorders>
          </w:tcPr>
          <w:p>
            <w:pPr>
              <w:pStyle w:val="CompactTableText"/>
              <w:bidi w:val="0"/>
              <w:spacing w:lineRule="auto" w:line="264" w:before="0" w:after="43"/>
              <w:jc w:val="start"/>
              <w:rPr/>
            </w:pPr>
            <w:r>
              <w:rPr/>
              <w:t>6/6</w:t>
            </w:r>
          </w:p>
        </w:tc>
      </w:tr>
      <w:tr>
        <w:trPr/>
        <w:tc>
          <w:tcPr>
            <w:tcW w:w="2160" w:type="dxa"/>
            <w:tcBorders>
              <w:bottom w:val="single" w:sz="2" w:space="0" w:color="CCCCCC"/>
            </w:tcBorders>
          </w:tcPr>
          <w:p>
            <w:pPr>
              <w:pStyle w:val="CompactTableText"/>
              <w:bidi w:val="0"/>
              <w:spacing w:lineRule="auto" w:line="264" w:before="0" w:after="43"/>
              <w:jc w:val="start"/>
              <w:rPr/>
            </w:pPr>
            <w:r>
              <w:rPr/>
              <w:t>hb04</w:t>
            </w:r>
          </w:p>
        </w:tc>
        <w:tc>
          <w:tcPr>
            <w:tcW w:w="3600" w:type="dxa"/>
            <w:tcBorders>
              <w:bottom w:val="single" w:sz="2" w:space="0" w:color="CCCCCC"/>
            </w:tcBorders>
          </w:tcPr>
          <w:p>
            <w:pPr>
              <w:pStyle w:val="CompactTableText"/>
              <w:bidi w:val="0"/>
              <w:spacing w:lineRule="auto" w:line="264" w:before="0" w:after="43"/>
              <w:jc w:val="start"/>
              <w:rPr/>
            </w:pPr>
            <w:r>
              <w:rPr/>
              <w:t>0/6</w:t>
            </w:r>
          </w:p>
        </w:tc>
        <w:tc>
          <w:tcPr>
            <w:tcW w:w="3600" w:type="dxa"/>
            <w:tcBorders>
              <w:bottom w:val="single" w:sz="2" w:space="0" w:color="CCCCCC"/>
            </w:tcBorders>
          </w:tcPr>
          <w:p>
            <w:pPr>
              <w:pStyle w:val="CompactTableText"/>
              <w:bidi w:val="0"/>
              <w:spacing w:lineRule="auto" w:line="264" w:before="0" w:after="43"/>
              <w:jc w:val="start"/>
              <w:rPr/>
            </w:pPr>
            <w:r>
              <w:rPr/>
              <w:t>6/6</w:t>
            </w:r>
          </w:p>
        </w:tc>
        <w:tc>
          <w:tcPr>
            <w:tcW w:w="3600" w:type="dxa"/>
            <w:tcBorders>
              <w:bottom w:val="single" w:sz="2" w:space="0" w:color="CCCCCC"/>
            </w:tcBorders>
          </w:tcPr>
          <w:p>
            <w:pPr>
              <w:pStyle w:val="CompactTableText"/>
              <w:bidi w:val="0"/>
              <w:spacing w:lineRule="auto" w:line="264" w:before="0" w:after="43"/>
              <w:jc w:val="start"/>
              <w:rPr/>
            </w:pPr>
            <w:r>
              <w:rPr/>
              <w:t>6/6</w:t>
            </w:r>
          </w:p>
        </w:tc>
      </w:tr>
      <w:tr>
        <w:trPr/>
        <w:tc>
          <w:tcPr>
            <w:tcW w:w="2160" w:type="dxa"/>
            <w:tcBorders>
              <w:bottom w:val="single" w:sz="2" w:space="0" w:color="CCCCCC"/>
            </w:tcBorders>
          </w:tcPr>
          <w:p>
            <w:pPr>
              <w:pStyle w:val="CompactTableText"/>
              <w:bidi w:val="0"/>
              <w:spacing w:lineRule="auto" w:line="264" w:before="0" w:after="43"/>
              <w:jc w:val="start"/>
              <w:rPr/>
            </w:pPr>
            <w:r>
              <w:rPr/>
              <w:t>hb05</w:t>
            </w:r>
          </w:p>
        </w:tc>
        <w:tc>
          <w:tcPr>
            <w:tcW w:w="3600" w:type="dxa"/>
            <w:tcBorders>
              <w:bottom w:val="single" w:sz="2" w:space="0" w:color="CCCCCC"/>
            </w:tcBorders>
          </w:tcPr>
          <w:p>
            <w:pPr>
              <w:pStyle w:val="CompactTableText"/>
              <w:bidi w:val="0"/>
              <w:spacing w:lineRule="auto" w:line="264" w:before="0" w:after="43"/>
              <w:jc w:val="start"/>
              <w:rPr/>
            </w:pPr>
            <w:r>
              <w:rPr/>
              <w:t>0/6</w:t>
            </w:r>
          </w:p>
        </w:tc>
        <w:tc>
          <w:tcPr>
            <w:tcW w:w="3600" w:type="dxa"/>
            <w:tcBorders>
              <w:bottom w:val="single" w:sz="2" w:space="0" w:color="CCCCCC"/>
            </w:tcBorders>
          </w:tcPr>
          <w:p>
            <w:pPr>
              <w:pStyle w:val="CompactTableText"/>
              <w:bidi w:val="0"/>
              <w:spacing w:lineRule="auto" w:line="264" w:before="0" w:after="43"/>
              <w:jc w:val="start"/>
              <w:rPr/>
            </w:pPr>
            <w:r>
              <w:rPr/>
              <w:t>6/6</w:t>
            </w:r>
          </w:p>
        </w:tc>
        <w:tc>
          <w:tcPr>
            <w:tcW w:w="3600" w:type="dxa"/>
            <w:tcBorders>
              <w:bottom w:val="single" w:sz="2" w:space="0" w:color="CCCCCC"/>
            </w:tcBorders>
          </w:tcPr>
          <w:p>
            <w:pPr>
              <w:pStyle w:val="CompactTableText"/>
              <w:bidi w:val="0"/>
              <w:spacing w:lineRule="auto" w:line="264" w:before="0" w:after="43"/>
              <w:jc w:val="start"/>
              <w:rPr/>
            </w:pPr>
            <w:r>
              <w:rPr/>
              <w:t>6/6</w:t>
            </w:r>
          </w:p>
        </w:tc>
      </w:tr>
      <w:tr>
        <w:trPr/>
        <w:tc>
          <w:tcPr>
            <w:tcW w:w="2160" w:type="dxa"/>
            <w:tcBorders>
              <w:bottom w:val="single" w:sz="2" w:space="0" w:color="CCCCCC"/>
            </w:tcBorders>
          </w:tcPr>
          <w:p>
            <w:pPr>
              <w:pStyle w:val="CompactTableText"/>
              <w:bidi w:val="0"/>
              <w:spacing w:lineRule="auto" w:line="264" w:before="0" w:after="43"/>
              <w:jc w:val="start"/>
              <w:rPr/>
            </w:pPr>
            <w:r>
              <w:rPr/>
              <w:t>hb06</w:t>
            </w:r>
          </w:p>
        </w:tc>
        <w:tc>
          <w:tcPr>
            <w:tcW w:w="3600" w:type="dxa"/>
            <w:tcBorders>
              <w:bottom w:val="single" w:sz="2" w:space="0" w:color="CCCCCC"/>
            </w:tcBorders>
          </w:tcPr>
          <w:p>
            <w:pPr>
              <w:pStyle w:val="CompactTableText"/>
              <w:bidi w:val="0"/>
              <w:spacing w:lineRule="auto" w:line="264" w:before="0" w:after="43"/>
              <w:jc w:val="start"/>
              <w:rPr/>
            </w:pPr>
            <w:r>
              <w:rPr/>
              <w:t>0/6</w:t>
            </w:r>
          </w:p>
        </w:tc>
        <w:tc>
          <w:tcPr>
            <w:tcW w:w="3600" w:type="dxa"/>
            <w:tcBorders>
              <w:bottom w:val="single" w:sz="2" w:space="0" w:color="CCCCCC"/>
            </w:tcBorders>
          </w:tcPr>
          <w:p>
            <w:pPr>
              <w:pStyle w:val="CompactTableText"/>
              <w:bidi w:val="0"/>
              <w:spacing w:lineRule="auto" w:line="264" w:before="0" w:after="43"/>
              <w:jc w:val="start"/>
              <w:rPr/>
            </w:pPr>
            <w:r>
              <w:rPr/>
              <w:t>6/6</w:t>
            </w:r>
          </w:p>
        </w:tc>
        <w:tc>
          <w:tcPr>
            <w:tcW w:w="3600" w:type="dxa"/>
            <w:tcBorders>
              <w:bottom w:val="single" w:sz="2" w:space="0" w:color="CCCCCC"/>
            </w:tcBorders>
          </w:tcPr>
          <w:p>
            <w:pPr>
              <w:pStyle w:val="CompactTableText"/>
              <w:bidi w:val="0"/>
              <w:spacing w:lineRule="auto" w:line="264" w:before="0" w:after="43"/>
              <w:jc w:val="start"/>
              <w:rPr/>
            </w:pPr>
            <w:r>
              <w:rPr/>
              <w:t>6/6</w:t>
            </w:r>
          </w:p>
        </w:tc>
      </w:tr>
      <w:tr>
        <w:trPr/>
        <w:tc>
          <w:tcPr>
            <w:tcW w:w="2160" w:type="dxa"/>
            <w:tcBorders>
              <w:bottom w:val="single" w:sz="2" w:space="0" w:color="CCCCCC"/>
            </w:tcBorders>
          </w:tcPr>
          <w:p>
            <w:pPr>
              <w:pStyle w:val="CompactTableText"/>
              <w:bidi w:val="0"/>
              <w:spacing w:lineRule="auto" w:line="264" w:before="0" w:after="43"/>
              <w:jc w:val="start"/>
              <w:rPr/>
            </w:pPr>
            <w:r>
              <w:rPr/>
              <w:t>hb07</w:t>
            </w:r>
          </w:p>
        </w:tc>
        <w:tc>
          <w:tcPr>
            <w:tcW w:w="3600" w:type="dxa"/>
            <w:tcBorders>
              <w:bottom w:val="single" w:sz="2" w:space="0" w:color="CCCCCC"/>
            </w:tcBorders>
          </w:tcPr>
          <w:p>
            <w:pPr>
              <w:pStyle w:val="CompactTableText"/>
              <w:bidi w:val="0"/>
              <w:spacing w:lineRule="auto" w:line="264" w:before="0" w:after="43"/>
              <w:jc w:val="start"/>
              <w:rPr/>
            </w:pPr>
            <w:r>
              <w:rPr/>
              <w:t>0/6</w:t>
            </w:r>
          </w:p>
        </w:tc>
        <w:tc>
          <w:tcPr>
            <w:tcW w:w="3600" w:type="dxa"/>
            <w:tcBorders>
              <w:bottom w:val="single" w:sz="2" w:space="0" w:color="CCCCCC"/>
            </w:tcBorders>
          </w:tcPr>
          <w:p>
            <w:pPr>
              <w:pStyle w:val="CompactTableText"/>
              <w:bidi w:val="0"/>
              <w:spacing w:lineRule="auto" w:line="264" w:before="0" w:after="43"/>
              <w:jc w:val="start"/>
              <w:rPr/>
            </w:pPr>
            <w:r>
              <w:rPr/>
              <w:t>6/6</w:t>
            </w:r>
          </w:p>
        </w:tc>
        <w:tc>
          <w:tcPr>
            <w:tcW w:w="3600" w:type="dxa"/>
            <w:tcBorders>
              <w:bottom w:val="single" w:sz="2" w:space="0" w:color="CCCCCC"/>
            </w:tcBorders>
          </w:tcPr>
          <w:p>
            <w:pPr>
              <w:pStyle w:val="CompactTableText"/>
              <w:bidi w:val="0"/>
              <w:spacing w:lineRule="auto" w:line="264" w:before="0" w:after="43"/>
              <w:jc w:val="start"/>
              <w:rPr/>
            </w:pPr>
            <w:r>
              <w:rPr/>
              <w:t>6/6</w:t>
            </w:r>
          </w:p>
        </w:tc>
      </w:tr>
      <w:tr>
        <w:trPr/>
        <w:tc>
          <w:tcPr>
            <w:tcW w:w="2160" w:type="dxa"/>
            <w:tcBorders>
              <w:bottom w:val="single" w:sz="2" w:space="0" w:color="CCCCCC"/>
            </w:tcBorders>
          </w:tcPr>
          <w:p>
            <w:pPr>
              <w:pStyle w:val="CompactTableText"/>
              <w:bidi w:val="0"/>
              <w:spacing w:lineRule="auto" w:line="264" w:before="0" w:after="43"/>
              <w:jc w:val="start"/>
              <w:rPr/>
            </w:pPr>
            <w:r>
              <w:rPr/>
              <w:t>hb08</w:t>
            </w:r>
          </w:p>
        </w:tc>
        <w:tc>
          <w:tcPr>
            <w:tcW w:w="3600" w:type="dxa"/>
            <w:tcBorders>
              <w:bottom w:val="single" w:sz="2" w:space="0" w:color="CCCCCC"/>
            </w:tcBorders>
          </w:tcPr>
          <w:p>
            <w:pPr>
              <w:pStyle w:val="CompactTableText"/>
              <w:bidi w:val="0"/>
              <w:spacing w:lineRule="auto" w:line="264" w:before="0" w:after="43"/>
              <w:jc w:val="start"/>
              <w:rPr/>
            </w:pPr>
            <w:r>
              <w:rPr/>
              <w:t>0/6</w:t>
            </w:r>
          </w:p>
        </w:tc>
        <w:tc>
          <w:tcPr>
            <w:tcW w:w="3600" w:type="dxa"/>
            <w:tcBorders>
              <w:bottom w:val="single" w:sz="2" w:space="0" w:color="CCCCCC"/>
            </w:tcBorders>
          </w:tcPr>
          <w:p>
            <w:pPr>
              <w:pStyle w:val="CompactTableText"/>
              <w:bidi w:val="0"/>
              <w:spacing w:lineRule="auto" w:line="264" w:before="0" w:after="43"/>
              <w:jc w:val="start"/>
              <w:rPr/>
            </w:pPr>
            <w:r>
              <w:rPr/>
              <w:t>6/6</w:t>
            </w:r>
          </w:p>
        </w:tc>
        <w:tc>
          <w:tcPr>
            <w:tcW w:w="3600" w:type="dxa"/>
            <w:tcBorders>
              <w:bottom w:val="single" w:sz="2" w:space="0" w:color="CCCCCC"/>
            </w:tcBorders>
          </w:tcPr>
          <w:p>
            <w:pPr>
              <w:pStyle w:val="CompactTableText"/>
              <w:bidi w:val="0"/>
              <w:spacing w:lineRule="auto" w:line="264" w:before="0" w:after="43"/>
              <w:jc w:val="start"/>
              <w:rPr/>
            </w:pPr>
            <w:r>
              <w:rPr/>
              <w:t>6/6</w:t>
            </w:r>
          </w:p>
        </w:tc>
      </w:tr>
      <w:tr>
        <w:trPr/>
        <w:tc>
          <w:tcPr>
            <w:tcW w:w="2160" w:type="dxa"/>
            <w:tcBorders>
              <w:bottom w:val="single" w:sz="2" w:space="0" w:color="CCCCCC"/>
            </w:tcBorders>
          </w:tcPr>
          <w:p>
            <w:pPr>
              <w:pStyle w:val="CompactTableText"/>
              <w:bidi w:val="0"/>
              <w:spacing w:lineRule="auto" w:line="264" w:before="0" w:after="43"/>
              <w:jc w:val="start"/>
              <w:rPr/>
            </w:pPr>
            <w:r>
              <w:rPr/>
              <w:t>hb09</w:t>
            </w:r>
          </w:p>
        </w:tc>
        <w:tc>
          <w:tcPr>
            <w:tcW w:w="3600" w:type="dxa"/>
            <w:tcBorders>
              <w:bottom w:val="single" w:sz="2" w:space="0" w:color="CCCCCC"/>
            </w:tcBorders>
          </w:tcPr>
          <w:p>
            <w:pPr>
              <w:pStyle w:val="CompactTableText"/>
              <w:bidi w:val="0"/>
              <w:spacing w:lineRule="auto" w:line="264" w:before="0" w:after="43"/>
              <w:jc w:val="start"/>
              <w:rPr/>
            </w:pPr>
            <w:r>
              <w:rPr/>
              <w:t>0/6</w:t>
            </w:r>
          </w:p>
        </w:tc>
        <w:tc>
          <w:tcPr>
            <w:tcW w:w="3600" w:type="dxa"/>
            <w:tcBorders>
              <w:bottom w:val="single" w:sz="2" w:space="0" w:color="CCCCCC"/>
            </w:tcBorders>
          </w:tcPr>
          <w:p>
            <w:pPr>
              <w:pStyle w:val="CompactTableText"/>
              <w:bidi w:val="0"/>
              <w:spacing w:lineRule="auto" w:line="264" w:before="0" w:after="43"/>
              <w:jc w:val="start"/>
              <w:rPr/>
            </w:pPr>
            <w:r>
              <w:rPr/>
              <w:t>6/6</w:t>
            </w:r>
          </w:p>
        </w:tc>
        <w:tc>
          <w:tcPr>
            <w:tcW w:w="3600" w:type="dxa"/>
            <w:tcBorders>
              <w:bottom w:val="single" w:sz="2" w:space="0" w:color="CCCCCC"/>
            </w:tcBorders>
          </w:tcPr>
          <w:p>
            <w:pPr>
              <w:pStyle w:val="CompactTableText"/>
              <w:bidi w:val="0"/>
              <w:spacing w:lineRule="auto" w:line="264" w:before="0" w:after="43"/>
              <w:jc w:val="start"/>
              <w:rPr/>
            </w:pPr>
            <w:r>
              <w:rPr/>
              <w:t>6/6</w:t>
            </w:r>
          </w:p>
        </w:tc>
      </w:tr>
      <w:tr>
        <w:trPr/>
        <w:tc>
          <w:tcPr>
            <w:tcW w:w="2160" w:type="dxa"/>
            <w:tcBorders>
              <w:bottom w:val="single" w:sz="2" w:space="0" w:color="CCCCCC"/>
            </w:tcBorders>
          </w:tcPr>
          <w:p>
            <w:pPr>
              <w:pStyle w:val="CompactTableText"/>
              <w:bidi w:val="0"/>
              <w:spacing w:lineRule="auto" w:line="264" w:before="0" w:after="43"/>
              <w:jc w:val="start"/>
              <w:rPr/>
            </w:pPr>
            <w:r>
              <w:rPr/>
              <w:t>hb10</w:t>
            </w:r>
          </w:p>
        </w:tc>
        <w:tc>
          <w:tcPr>
            <w:tcW w:w="3600" w:type="dxa"/>
            <w:tcBorders>
              <w:bottom w:val="single" w:sz="2" w:space="0" w:color="CCCCCC"/>
            </w:tcBorders>
          </w:tcPr>
          <w:p>
            <w:pPr>
              <w:pStyle w:val="CompactTableText"/>
              <w:bidi w:val="0"/>
              <w:spacing w:lineRule="auto" w:line="264" w:before="0" w:after="43"/>
              <w:jc w:val="start"/>
              <w:rPr/>
            </w:pPr>
            <w:r>
              <w:rPr/>
              <w:t>0/6</w:t>
            </w:r>
          </w:p>
        </w:tc>
        <w:tc>
          <w:tcPr>
            <w:tcW w:w="3600" w:type="dxa"/>
            <w:tcBorders>
              <w:bottom w:val="single" w:sz="2" w:space="0" w:color="CCCCCC"/>
            </w:tcBorders>
          </w:tcPr>
          <w:p>
            <w:pPr>
              <w:pStyle w:val="CompactTableText"/>
              <w:bidi w:val="0"/>
              <w:spacing w:lineRule="auto" w:line="264" w:before="0" w:after="43"/>
              <w:jc w:val="start"/>
              <w:rPr/>
            </w:pPr>
            <w:r>
              <w:rPr/>
              <w:t>6/6</w:t>
            </w:r>
          </w:p>
        </w:tc>
        <w:tc>
          <w:tcPr>
            <w:tcW w:w="3600" w:type="dxa"/>
            <w:tcBorders>
              <w:bottom w:val="single" w:sz="2" w:space="0" w:color="CCCCCC"/>
            </w:tcBorders>
          </w:tcPr>
          <w:p>
            <w:pPr>
              <w:pStyle w:val="CompactTableText"/>
              <w:bidi w:val="0"/>
              <w:spacing w:lineRule="auto" w:line="264" w:before="0" w:after="43"/>
              <w:jc w:val="start"/>
              <w:rPr/>
            </w:pPr>
            <w:r>
              <w:rPr/>
              <w:t>6/6</w:t>
            </w:r>
          </w:p>
        </w:tc>
      </w:tr>
    </w:tbl>
    <w:p>
      <w:pPr>
        <w:pStyle w:val="Plain"/>
        <w:bidi w:val="0"/>
        <w:spacing w:lineRule="exact" w:line="365"/>
        <w:jc w:val="start"/>
        <w:rPr/>
      </w:pPr>
      <w:r>
        <w:rPr/>
        <w:t>Cells give raw criteria passed out of criteria checked. The raw record keeps bolt condition, initial and final torque values, each stage sequence and stage order separate. The study collector’s reduced mapping combines the two sequence checks; its denominator is different. Sol’s removed bolts are an unfinished observation; final accuracy remains unavailable. Correct final bolt checks do not establish correct disassembly, loosening or restoration.</w:t>
      </w:r>
    </w:p>
    <w:p>
      <w:pPr>
        <w:pStyle w:val="LandscapeFigureHeading"/>
        <w:bidi w:val="0"/>
        <w:jc w:val="start"/>
        <w:rPr/>
      </w:pPr>
      <w:r>
        <w:rPr/>
        <w:t>Appendix F. Exploratory mistake labels</w:t>
      </w:r>
    </w:p>
    <w:p>
      <w:pPr>
        <w:pStyle w:val="TableCaption"/>
        <w:keepNext w:val="true"/>
        <w:bidi w:val="0"/>
        <w:jc w:val="start"/>
        <w:rPr/>
      </w:pPr>
      <w:r>
        <w:rPr/>
        <w:t>Table 35. Appendix F. Exploratory mistake labels</w:t>
      </w:r>
    </w:p>
    <w:tbl>
      <w:tblPr>
        <w:tblW w:w="12960" w:type="dxa"/>
        <w:jc w:val="start"/>
        <w:tblInd w:w="0" w:type="dxa"/>
        <w:tblLayout w:type="fixed"/>
        <w:tblCellMar>
          <w:top w:w="58" w:type="dxa"/>
          <w:start w:w="58" w:type="dxa"/>
          <w:bottom w:w="58" w:type="dxa"/>
          <w:end w:w="58" w:type="dxa"/>
        </w:tblCellMar>
      </w:tblPr>
      <w:tblGrid>
        <w:gridCol w:w="2160"/>
        <w:gridCol w:w="3600"/>
        <w:gridCol w:w="3600"/>
        <w:gridCol w:w="3600"/>
      </w:tblGrid>
      <w:tr>
        <w:trPr/>
        <w:tc>
          <w:tcPr>
            <w:tcW w:w="2160" w:type="dxa"/>
            <w:tcBorders>
              <w:bottom w:val="single" w:sz="2" w:space="0" w:color="CCCCCC"/>
            </w:tcBorders>
          </w:tcPr>
          <w:p>
            <w:pPr>
              <w:pStyle w:val="CompactTableText"/>
              <w:bidi w:val="0"/>
              <w:spacing w:lineRule="auto" w:line="264" w:before="0" w:after="43"/>
              <w:jc w:val="start"/>
              <w:rPr/>
            </w:pPr>
            <w:r>
              <w:rPr>
                <w:rStyle w:val="Tb"/>
              </w:rPr>
              <w:t>Mistake type</w:t>
            </w:r>
          </w:p>
        </w:tc>
        <w:tc>
          <w:tcPr>
            <w:tcW w:w="3600" w:type="dxa"/>
            <w:tcBorders>
              <w:bottom w:val="single" w:sz="2" w:space="0" w:color="CCCCCC"/>
            </w:tcBorders>
          </w:tcPr>
          <w:p>
            <w:pPr>
              <w:pStyle w:val="CompactTableText"/>
              <w:bidi w:val="0"/>
              <w:spacing w:lineRule="auto" w:line="264" w:before="0" w:after="43"/>
              <w:jc w:val="start"/>
              <w:rPr/>
            </w:pPr>
            <w:r>
              <w:rPr>
                <w:rStyle w:val="Tb"/>
              </w:rPr>
              <w:t>GPT-6.1-Sol</w:t>
            </w:r>
          </w:p>
        </w:tc>
        <w:tc>
          <w:tcPr>
            <w:tcW w:w="3600" w:type="dxa"/>
            <w:tcBorders>
              <w:bottom w:val="single" w:sz="2" w:space="0" w:color="CCCCCC"/>
            </w:tcBorders>
          </w:tcPr>
          <w:p>
            <w:pPr>
              <w:pStyle w:val="CompactTableText"/>
              <w:bidi w:val="0"/>
              <w:spacing w:lineRule="auto" w:line="264" w:before="0" w:after="43"/>
              <w:jc w:val="start"/>
              <w:rPr/>
            </w:pPr>
            <w:r>
              <w:rPr>
                <w:rStyle w:val="Tb"/>
              </w:rPr>
              <w:t>GPT-6-Astra</w:t>
            </w:r>
          </w:p>
        </w:tc>
        <w:tc>
          <w:tcPr>
            <w:tcW w:w="3600" w:type="dxa"/>
            <w:tcBorders>
              <w:bottom w:val="single" w:sz="2" w:space="0" w:color="CCCCCC"/>
            </w:tcBorders>
          </w:tcPr>
          <w:p>
            <w:pPr>
              <w:pStyle w:val="CompactTableText"/>
              <w:bidi w:val="0"/>
              <w:spacing w:lineRule="auto" w:line="264" w:before="0" w:after="43"/>
              <w:jc w:val="start"/>
              <w:rPr/>
            </w:pPr>
            <w:r>
              <w:rPr>
                <w:rStyle w:val="Tb"/>
              </w:rPr>
              <w:t>GPT-6-Luna</w:t>
            </w:r>
          </w:p>
        </w:tc>
      </w:tr>
      <w:tr>
        <w:trPr/>
        <w:tc>
          <w:tcPr>
            <w:tcW w:w="2160" w:type="dxa"/>
            <w:tcBorders>
              <w:bottom w:val="single" w:sz="2" w:space="0" w:color="CCCCCC"/>
            </w:tcBorders>
          </w:tcPr>
          <w:p>
            <w:pPr>
              <w:pStyle w:val="CompactTableText"/>
              <w:bidi w:val="0"/>
              <w:spacing w:lineRule="auto" w:line="264" w:before="0" w:after="43"/>
              <w:jc w:val="start"/>
              <w:rPr/>
            </w:pPr>
            <w:r>
              <w:rPr/>
              <w:t>blocked removal</w:t>
            </w:r>
          </w:p>
        </w:tc>
        <w:tc>
          <w:tcPr>
            <w:tcW w:w="3600" w:type="dxa"/>
            <w:tcBorders>
              <w:bottom w:val="single" w:sz="2" w:space="0" w:color="CCCCCC"/>
            </w:tcBorders>
          </w:tcPr>
          <w:p>
            <w:pPr>
              <w:pStyle w:val="CompactTableText"/>
              <w:bidi w:val="0"/>
              <w:spacing w:lineRule="auto" w:line="264" w:before="0" w:after="43"/>
              <w:jc w:val="start"/>
              <w:rPr/>
            </w:pPr>
            <w:r>
              <w:rPr/>
              <w:t>3</w:t>
            </w:r>
          </w:p>
        </w:tc>
        <w:tc>
          <w:tcPr>
            <w:tcW w:w="3600" w:type="dxa"/>
            <w:tcBorders>
              <w:bottom w:val="single" w:sz="2" w:space="0" w:color="CCCCCC"/>
            </w:tcBorders>
          </w:tcPr>
          <w:p>
            <w:pPr>
              <w:pStyle w:val="CompactTableText"/>
              <w:bidi w:val="0"/>
              <w:spacing w:lineRule="auto" w:line="264" w:before="0" w:after="43"/>
              <w:jc w:val="start"/>
              <w:rPr/>
            </w:pPr>
            <w:r>
              <w:rPr/>
              <w:t>1</w:t>
            </w:r>
          </w:p>
        </w:tc>
        <w:tc>
          <w:tcPr>
            <w:tcW w:w="3600" w:type="dxa"/>
            <w:tcBorders>
              <w:bottom w:val="single" w:sz="2" w:space="0" w:color="CCCCCC"/>
            </w:tcBorders>
          </w:tcPr>
          <w:p>
            <w:pPr>
              <w:pStyle w:val="CompactTableText"/>
              <w:bidi w:val="0"/>
              <w:spacing w:lineRule="auto" w:line="264" w:before="0" w:after="43"/>
              <w:jc w:val="start"/>
              <w:rPr/>
            </w:pPr>
            <w:r>
              <w:rPr/>
              <w:t>7</w:t>
            </w:r>
          </w:p>
        </w:tc>
      </w:tr>
      <w:tr>
        <w:trPr/>
        <w:tc>
          <w:tcPr>
            <w:tcW w:w="2160" w:type="dxa"/>
            <w:tcBorders>
              <w:bottom w:val="single" w:sz="2" w:space="0" w:color="CCCCCC"/>
            </w:tcBorders>
          </w:tcPr>
          <w:p>
            <w:pPr>
              <w:pStyle w:val="CompactTableText"/>
              <w:bidi w:val="0"/>
              <w:spacing w:lineRule="auto" w:line="264" w:before="0" w:after="43"/>
              <w:jc w:val="start"/>
              <w:rPr/>
            </w:pPr>
            <w:r>
              <w:rPr/>
              <w:t>invalid action</w:t>
            </w:r>
          </w:p>
        </w:tc>
        <w:tc>
          <w:tcPr>
            <w:tcW w:w="3600" w:type="dxa"/>
            <w:tcBorders>
              <w:bottom w:val="single" w:sz="2" w:space="0" w:color="CCCCCC"/>
            </w:tcBorders>
          </w:tcPr>
          <w:p>
            <w:pPr>
              <w:pStyle w:val="CompactTableText"/>
              <w:bidi w:val="0"/>
              <w:spacing w:lineRule="auto" w:line="264" w:before="0" w:after="43"/>
              <w:jc w:val="start"/>
              <w:rPr/>
            </w:pPr>
            <w:r>
              <w:rPr/>
              <w:t>28</w:t>
            </w:r>
          </w:p>
        </w:tc>
        <w:tc>
          <w:tcPr>
            <w:tcW w:w="3600" w:type="dxa"/>
            <w:tcBorders>
              <w:bottom w:val="single" w:sz="2" w:space="0" w:color="CCCCCC"/>
            </w:tcBorders>
          </w:tcPr>
          <w:p>
            <w:pPr>
              <w:pStyle w:val="CompactTableText"/>
              <w:bidi w:val="0"/>
              <w:spacing w:lineRule="auto" w:line="264" w:before="0" w:after="43"/>
              <w:jc w:val="start"/>
              <w:rPr/>
            </w:pPr>
            <w:r>
              <w:rPr/>
              <w:t>14</w:t>
            </w:r>
          </w:p>
        </w:tc>
        <w:tc>
          <w:tcPr>
            <w:tcW w:w="3600" w:type="dxa"/>
            <w:tcBorders>
              <w:bottom w:val="single" w:sz="2" w:space="0" w:color="CCCCCC"/>
            </w:tcBorders>
          </w:tcPr>
          <w:p>
            <w:pPr>
              <w:pStyle w:val="CompactTableText"/>
              <w:bidi w:val="0"/>
              <w:spacing w:lineRule="auto" w:line="264" w:before="0" w:after="43"/>
              <w:jc w:val="start"/>
              <w:rPr/>
            </w:pPr>
            <w:r>
              <w:rPr/>
              <w:t>110</w:t>
            </w:r>
          </w:p>
        </w:tc>
      </w:tr>
      <w:tr>
        <w:trPr/>
        <w:tc>
          <w:tcPr>
            <w:tcW w:w="2160" w:type="dxa"/>
            <w:tcBorders>
              <w:bottom w:val="single" w:sz="2" w:space="0" w:color="CCCCCC"/>
            </w:tcBorders>
          </w:tcPr>
          <w:p>
            <w:pPr>
              <w:pStyle w:val="CompactTableText"/>
              <w:bidi w:val="0"/>
              <w:spacing w:lineRule="auto" w:line="264" w:before="0" w:after="43"/>
              <w:jc w:val="start"/>
              <w:rPr/>
            </w:pPr>
            <w:r>
              <w:rPr/>
              <w:t>missing attachment restore</w:t>
            </w:r>
          </w:p>
        </w:tc>
        <w:tc>
          <w:tcPr>
            <w:tcW w:w="3600" w:type="dxa"/>
            <w:tcBorders>
              <w:bottom w:val="single" w:sz="2" w:space="0" w:color="CCCCCC"/>
            </w:tcBorders>
          </w:tcPr>
          <w:p>
            <w:pPr>
              <w:pStyle w:val="CompactTableText"/>
              <w:bidi w:val="0"/>
              <w:spacing w:lineRule="auto" w:line="264" w:before="0" w:after="43"/>
              <w:jc w:val="start"/>
              <w:rPr/>
            </w:pPr>
            <w:r>
              <w:rPr/>
              <w:t>None recorded</w:t>
            </w:r>
          </w:p>
        </w:tc>
        <w:tc>
          <w:tcPr>
            <w:tcW w:w="3600" w:type="dxa"/>
            <w:tcBorders>
              <w:bottom w:val="single" w:sz="2" w:space="0" w:color="CCCCCC"/>
            </w:tcBorders>
          </w:tcPr>
          <w:p>
            <w:pPr>
              <w:pStyle w:val="CompactTableText"/>
              <w:bidi w:val="0"/>
              <w:spacing w:lineRule="auto" w:line="264" w:before="0" w:after="43"/>
              <w:jc w:val="start"/>
              <w:rPr/>
            </w:pPr>
            <w:r>
              <w:rPr/>
              <w:t>None recorded</w:t>
            </w:r>
          </w:p>
        </w:tc>
        <w:tc>
          <w:tcPr>
            <w:tcW w:w="3600" w:type="dxa"/>
            <w:tcBorders>
              <w:bottom w:val="single" w:sz="2" w:space="0" w:color="CCCCCC"/>
            </w:tcBorders>
          </w:tcPr>
          <w:p>
            <w:pPr>
              <w:pStyle w:val="CompactTableText"/>
              <w:bidi w:val="0"/>
              <w:spacing w:lineRule="auto" w:line="264" w:before="0" w:after="43"/>
              <w:jc w:val="start"/>
              <w:rPr/>
            </w:pPr>
            <w:r>
              <w:rPr/>
              <w:t>1</w:t>
            </w:r>
          </w:p>
        </w:tc>
      </w:tr>
      <w:tr>
        <w:trPr/>
        <w:tc>
          <w:tcPr>
            <w:tcW w:w="2160" w:type="dxa"/>
            <w:tcBorders>
              <w:bottom w:val="single" w:sz="2" w:space="0" w:color="CCCCCC"/>
            </w:tcBorders>
          </w:tcPr>
          <w:p>
            <w:pPr>
              <w:pStyle w:val="CompactTableText"/>
              <w:bidi w:val="0"/>
              <w:spacing w:lineRule="auto" w:line="264" w:before="0" w:after="43"/>
              <w:jc w:val="start"/>
              <w:rPr/>
            </w:pPr>
            <w:r>
              <w:rPr/>
              <w:t>redo work</w:t>
            </w:r>
          </w:p>
        </w:tc>
        <w:tc>
          <w:tcPr>
            <w:tcW w:w="3600" w:type="dxa"/>
            <w:tcBorders>
              <w:bottom w:val="single" w:sz="2" w:space="0" w:color="CCCCCC"/>
            </w:tcBorders>
          </w:tcPr>
          <w:p>
            <w:pPr>
              <w:pStyle w:val="CompactTableText"/>
              <w:bidi w:val="0"/>
              <w:spacing w:lineRule="auto" w:line="264" w:before="0" w:after="43"/>
              <w:jc w:val="start"/>
              <w:rPr/>
            </w:pPr>
            <w:r>
              <w:rPr/>
              <w:t>213</w:t>
            </w:r>
          </w:p>
        </w:tc>
        <w:tc>
          <w:tcPr>
            <w:tcW w:w="3600" w:type="dxa"/>
            <w:tcBorders>
              <w:bottom w:val="single" w:sz="2" w:space="0" w:color="CCCCCC"/>
            </w:tcBorders>
          </w:tcPr>
          <w:p>
            <w:pPr>
              <w:pStyle w:val="CompactTableText"/>
              <w:bidi w:val="0"/>
              <w:spacing w:lineRule="auto" w:line="264" w:before="0" w:after="43"/>
              <w:jc w:val="start"/>
              <w:rPr/>
            </w:pPr>
            <w:r>
              <w:rPr/>
              <w:t>15</w:t>
            </w:r>
          </w:p>
        </w:tc>
        <w:tc>
          <w:tcPr>
            <w:tcW w:w="3600" w:type="dxa"/>
            <w:tcBorders>
              <w:bottom w:val="single" w:sz="2" w:space="0" w:color="CCCCCC"/>
            </w:tcBorders>
          </w:tcPr>
          <w:p>
            <w:pPr>
              <w:pStyle w:val="CompactTableText"/>
              <w:bidi w:val="0"/>
              <w:spacing w:lineRule="auto" w:line="264" w:before="0" w:after="43"/>
              <w:jc w:val="start"/>
              <w:rPr/>
            </w:pPr>
            <w:r>
              <w:rPr/>
              <w:t>191</w:t>
            </w:r>
          </w:p>
        </w:tc>
      </w:tr>
      <w:tr>
        <w:trPr/>
        <w:tc>
          <w:tcPr>
            <w:tcW w:w="2160" w:type="dxa"/>
            <w:tcBorders>
              <w:bottom w:val="single" w:sz="2" w:space="0" w:color="CCCCCC"/>
            </w:tcBorders>
          </w:tcPr>
          <w:p>
            <w:pPr>
              <w:pStyle w:val="CompactTableText"/>
              <w:bidi w:val="0"/>
              <w:spacing w:lineRule="auto" w:line="264" w:before="0" w:after="43"/>
              <w:jc w:val="start"/>
              <w:rPr/>
            </w:pPr>
            <w:r>
              <w:rPr/>
              <w:t>wrong gasket</w:t>
            </w:r>
          </w:p>
        </w:tc>
        <w:tc>
          <w:tcPr>
            <w:tcW w:w="3600" w:type="dxa"/>
            <w:tcBorders>
              <w:bottom w:val="single" w:sz="2" w:space="0" w:color="CCCCCC"/>
            </w:tcBorders>
          </w:tcPr>
          <w:p>
            <w:pPr>
              <w:pStyle w:val="CompactTableText"/>
              <w:bidi w:val="0"/>
              <w:spacing w:lineRule="auto" w:line="264" w:before="0" w:after="43"/>
              <w:jc w:val="start"/>
              <w:rPr/>
            </w:pPr>
            <w:r>
              <w:rPr/>
              <w:t>2</w:t>
            </w:r>
          </w:p>
        </w:tc>
        <w:tc>
          <w:tcPr>
            <w:tcW w:w="3600" w:type="dxa"/>
            <w:tcBorders>
              <w:bottom w:val="single" w:sz="2" w:space="0" w:color="CCCCCC"/>
            </w:tcBorders>
          </w:tcPr>
          <w:p>
            <w:pPr>
              <w:pStyle w:val="CompactTableText"/>
              <w:bidi w:val="0"/>
              <w:spacing w:lineRule="auto" w:line="264" w:before="0" w:after="43"/>
              <w:jc w:val="start"/>
              <w:rPr/>
            </w:pPr>
            <w:r>
              <w:rPr/>
              <w:t>None recorded</w:t>
            </w:r>
          </w:p>
        </w:tc>
        <w:tc>
          <w:tcPr>
            <w:tcW w:w="3600" w:type="dxa"/>
            <w:tcBorders>
              <w:bottom w:val="single" w:sz="2" w:space="0" w:color="CCCCCC"/>
            </w:tcBorders>
          </w:tcPr>
          <w:p>
            <w:pPr>
              <w:pStyle w:val="CompactTableText"/>
              <w:bidi w:val="0"/>
              <w:spacing w:lineRule="auto" w:line="264" w:before="0" w:after="43"/>
              <w:jc w:val="start"/>
              <w:rPr/>
            </w:pPr>
            <w:r>
              <w:rPr/>
              <w:t>1</w:t>
            </w:r>
          </w:p>
        </w:tc>
      </w:tr>
    </w:tbl>
    <w:p>
      <w:pPr>
        <w:sectPr>
          <w:type w:val="nextPage"/>
          <w:pgSz w:orient="landscape" w:w="15840" w:h="12240"/>
          <w:pgMar w:left="1440" w:right="1440" w:gutter="0" w:header="0" w:top="1440" w:footer="0" w:bottom="1440"/>
          <w:pgNumType w:fmt="decimal"/>
          <w:formProt w:val="false"/>
          <w:textDirection w:val="lrTb"/>
          <w:docGrid w:type="default" w:linePitch="600" w:charSpace="32768"/>
        </w:sectPr>
        <w:pStyle w:val="Plain"/>
        <w:bidi w:val="0"/>
        <w:spacing w:lineRule="exact" w:line="365"/>
        <w:jc w:val="start"/>
        <w:rPr/>
      </w:pPr>
      <w:r>
        <w:rPr/>
        <w:t>An action may carry several labels. The unique event count in the resource table therefore need not equal the sum of these categories. Corrective penalties remain charged even if the agent subsequently corrects the state.</w:t>
      </w:r>
    </w:p>
    <w:p>
      <w:pPr>
        <w:pStyle w:val="PortraitReturnHeading"/>
        <w:bidi w:val="0"/>
        <w:jc w:val="start"/>
        <w:rPr/>
      </w:pPr>
      <w:r>
        <w:rPr/>
        <w:t>Appendix F. Results machinery and scripted checks</w:t>
      </w:r>
    </w:p>
    <w:p>
      <w:pPr>
        <w:pStyle w:val="Plain"/>
        <w:bidi w:val="0"/>
        <w:spacing w:lineRule="exact" w:line="365"/>
        <w:jc w:val="start"/>
        <w:rPr/>
      </w:pPr>
      <w:r>
        <w:rPr/>
        <w:t>The results software reads saved report data and generates aggregate tables, per-variant and per-checkpoint summaries, per-bolt records, typed mistakes and figures. It does not execute the environment or an agent. The cases below test that reporting path; they are historical scripted procedures, not language-model outcomes.</w:t>
      </w:r>
    </w:p>
    <w:p>
      <w:pPr>
        <w:pStyle w:val="TableCaption"/>
        <w:keepNext w:val="true"/>
        <w:bidi w:val="0"/>
        <w:jc w:val="start"/>
        <w:rPr/>
      </w:pPr>
      <w:r>
        <w:rPr/>
        <w:t>Table 36. Appendix F. Results machinery and scripted checks</w:t>
      </w:r>
    </w:p>
    <w:tbl>
      <w:tblPr>
        <w:tblW w:w="9360" w:type="dxa"/>
        <w:jc w:val="start"/>
        <w:tblInd w:w="0" w:type="dxa"/>
        <w:tblLayout w:type="fixed"/>
        <w:tblCellMar>
          <w:top w:w="58" w:type="dxa"/>
          <w:start w:w="58" w:type="dxa"/>
          <w:bottom w:w="58" w:type="dxa"/>
          <w:end w:w="58" w:type="dxa"/>
        </w:tblCellMar>
      </w:tblPr>
      <w:tblGrid>
        <w:gridCol w:w="3600"/>
        <w:gridCol w:w="1440"/>
        <w:gridCol w:w="1440"/>
        <w:gridCol w:w="1440"/>
        <w:gridCol w:w="1440"/>
      </w:tblGrid>
      <w:tr>
        <w:trPr/>
        <w:tc>
          <w:tcPr>
            <w:tcW w:w="3600" w:type="dxa"/>
            <w:tcBorders>
              <w:bottom w:val="single" w:sz="2" w:space="0" w:color="CCCCCC"/>
            </w:tcBorders>
          </w:tcPr>
          <w:p>
            <w:pPr>
              <w:pStyle w:val="CompactTableText"/>
              <w:bidi w:val="0"/>
              <w:spacing w:lineRule="auto" w:line="264" w:before="0" w:after="43"/>
              <w:jc w:val="start"/>
              <w:rPr/>
            </w:pPr>
            <w:r>
              <w:rPr>
                <w:rStyle w:val="Tb"/>
              </w:rPr>
              <w:t>Saved scripted case</w:t>
            </w:r>
          </w:p>
        </w:tc>
        <w:tc>
          <w:tcPr>
            <w:tcW w:w="1440" w:type="dxa"/>
            <w:tcBorders>
              <w:bottom w:val="single" w:sz="2" w:space="0" w:color="CCCCCC"/>
            </w:tcBorders>
          </w:tcPr>
          <w:p>
            <w:pPr>
              <w:pStyle w:val="CompactTableText"/>
              <w:bidi w:val="0"/>
              <w:spacing w:lineRule="auto" w:line="264" w:before="0" w:after="43"/>
              <w:jc w:val="start"/>
              <w:rPr/>
            </w:pPr>
            <w:r>
              <w:rPr>
                <w:rStyle w:val="Tb"/>
              </w:rPr>
              <w:t>Points</w:t>
            </w:r>
          </w:p>
        </w:tc>
        <w:tc>
          <w:tcPr>
            <w:tcW w:w="1440" w:type="dxa"/>
            <w:tcBorders>
              <w:bottom w:val="single" w:sz="2" w:space="0" w:color="CCCCCC"/>
            </w:tcBorders>
          </w:tcPr>
          <w:p>
            <w:pPr>
              <w:pStyle w:val="CompactTableText"/>
              <w:bidi w:val="0"/>
              <w:spacing w:lineRule="auto" w:line="264" w:before="0" w:after="43"/>
              <w:jc w:val="start"/>
              <w:rPr/>
            </w:pPr>
            <w:r>
              <w:rPr>
                <w:rStyle w:val="Tb"/>
              </w:rPr>
              <w:t>Productive seconds</w:t>
            </w:r>
          </w:p>
        </w:tc>
        <w:tc>
          <w:tcPr>
            <w:tcW w:w="1440" w:type="dxa"/>
            <w:tcBorders>
              <w:bottom w:val="single" w:sz="2" w:space="0" w:color="CCCCCC"/>
            </w:tcBorders>
          </w:tcPr>
          <w:p>
            <w:pPr>
              <w:pStyle w:val="CompactTableText"/>
              <w:bidi w:val="0"/>
              <w:spacing w:lineRule="auto" w:line="264" w:before="0" w:after="43"/>
              <w:jc w:val="start"/>
              <w:rPr/>
            </w:pPr>
            <w:r>
              <w:rPr>
                <w:rStyle w:val="Tb"/>
              </w:rPr>
              <w:t>Penalty seconds</w:t>
            </w:r>
          </w:p>
        </w:tc>
        <w:tc>
          <w:tcPr>
            <w:tcW w:w="1440" w:type="dxa"/>
            <w:tcBorders>
              <w:bottom w:val="single" w:sz="2" w:space="0" w:color="CCCCCC"/>
            </w:tcBorders>
          </w:tcPr>
          <w:p>
            <w:pPr>
              <w:pStyle w:val="CompactTableText"/>
              <w:bidi w:val="0"/>
              <w:spacing w:lineRule="auto" w:line="264" w:before="0" w:after="43"/>
              <w:jc w:val="start"/>
              <w:rPr/>
            </w:pPr>
            <w:r>
              <w:rPr>
                <w:rStyle w:val="Tb"/>
              </w:rPr>
              <w:t>Charged seconds</w:t>
            </w:r>
          </w:p>
        </w:tc>
      </w:tr>
      <w:tr>
        <w:trPr/>
        <w:tc>
          <w:tcPr>
            <w:tcW w:w="3600" w:type="dxa"/>
            <w:tcBorders>
              <w:bottom w:val="single" w:sz="2" w:space="0" w:color="CCCCCC"/>
            </w:tcBorders>
          </w:tcPr>
          <w:p>
            <w:pPr>
              <w:pStyle w:val="CompactTableText"/>
              <w:bidi w:val="0"/>
              <w:spacing w:lineRule="auto" w:line="264" w:before="0" w:after="43"/>
              <w:jc w:val="start"/>
              <w:rPr/>
            </w:pPr>
            <w:r>
              <w:rPr/>
              <w:t>Historical baseline (incomplete)</w:t>
            </w:r>
          </w:p>
        </w:tc>
        <w:tc>
          <w:tcPr>
            <w:tcW w:w="1440" w:type="dxa"/>
            <w:tcBorders>
              <w:bottom w:val="single" w:sz="2" w:space="0" w:color="CCCCCC"/>
            </w:tcBorders>
          </w:tcPr>
          <w:p>
            <w:pPr>
              <w:pStyle w:val="CompactTableText"/>
              <w:bidi w:val="0"/>
              <w:spacing w:lineRule="auto" w:line="264" w:before="0" w:after="43"/>
              <w:jc w:val="start"/>
              <w:rPr/>
            </w:pPr>
            <w:r>
              <w:rPr/>
              <w:t>12</w:t>
            </w:r>
          </w:p>
        </w:tc>
        <w:tc>
          <w:tcPr>
            <w:tcW w:w="1440" w:type="dxa"/>
            <w:tcBorders>
              <w:bottom w:val="single" w:sz="2" w:space="0" w:color="CCCCCC"/>
            </w:tcBorders>
          </w:tcPr>
          <w:p>
            <w:pPr>
              <w:pStyle w:val="CompactTableText"/>
              <w:bidi w:val="0"/>
              <w:spacing w:lineRule="auto" w:line="264" w:before="0" w:after="43"/>
              <w:jc w:val="start"/>
              <w:rPr/>
            </w:pPr>
            <w:r>
              <w:rPr/>
              <w:t>5860</w:t>
            </w:r>
          </w:p>
        </w:tc>
        <w:tc>
          <w:tcPr>
            <w:tcW w:w="1440" w:type="dxa"/>
            <w:tcBorders>
              <w:bottom w:val="single" w:sz="2" w:space="0" w:color="CCCCCC"/>
            </w:tcBorders>
          </w:tcPr>
          <w:p>
            <w:pPr>
              <w:pStyle w:val="CompactTableText"/>
              <w:bidi w:val="0"/>
              <w:spacing w:lineRule="auto" w:line="264" w:before="0" w:after="43"/>
              <w:jc w:val="start"/>
              <w:rPr/>
            </w:pPr>
            <w:r>
              <w:rPr/>
              <w:t>0</w:t>
            </w:r>
          </w:p>
        </w:tc>
        <w:tc>
          <w:tcPr>
            <w:tcW w:w="1440" w:type="dxa"/>
            <w:tcBorders>
              <w:bottom w:val="single" w:sz="2" w:space="0" w:color="CCCCCC"/>
            </w:tcBorders>
          </w:tcPr>
          <w:p>
            <w:pPr>
              <w:pStyle w:val="CompactTableText"/>
              <w:bidi w:val="0"/>
              <w:spacing w:lineRule="auto" w:line="264" w:before="0" w:after="43"/>
              <w:jc w:val="start"/>
              <w:rPr/>
            </w:pPr>
            <w:r>
              <w:rPr/>
              <w:t>5860</w:t>
            </w:r>
          </w:p>
        </w:tc>
      </w:tr>
      <w:tr>
        <w:trPr/>
        <w:tc>
          <w:tcPr>
            <w:tcW w:w="3600" w:type="dxa"/>
            <w:tcBorders>
              <w:bottom w:val="single" w:sz="2" w:space="0" w:color="CCCCCC"/>
            </w:tcBorders>
          </w:tcPr>
          <w:p>
            <w:pPr>
              <w:pStyle w:val="CompactTableText"/>
              <w:bidi w:val="0"/>
              <w:spacing w:lineRule="auto" w:line="264" w:before="0" w:after="43"/>
              <w:jc w:val="start"/>
              <w:rPr/>
            </w:pPr>
            <w:r>
              <w:rPr/>
              <w:t>wrong torque sequence</w:t>
            </w:r>
          </w:p>
        </w:tc>
        <w:tc>
          <w:tcPr>
            <w:tcW w:w="1440" w:type="dxa"/>
            <w:tcBorders>
              <w:bottom w:val="single" w:sz="2" w:space="0" w:color="CCCCCC"/>
            </w:tcBorders>
          </w:tcPr>
          <w:p>
            <w:pPr>
              <w:pStyle w:val="CompactTableText"/>
              <w:bidi w:val="0"/>
              <w:spacing w:lineRule="auto" w:line="264" w:before="0" w:after="43"/>
              <w:jc w:val="start"/>
              <w:rPr/>
            </w:pPr>
            <w:r>
              <w:rPr/>
              <w:t>8</w:t>
            </w:r>
          </w:p>
        </w:tc>
        <w:tc>
          <w:tcPr>
            <w:tcW w:w="1440" w:type="dxa"/>
            <w:tcBorders>
              <w:bottom w:val="single" w:sz="2" w:space="0" w:color="CCCCCC"/>
            </w:tcBorders>
          </w:tcPr>
          <w:p>
            <w:pPr>
              <w:pStyle w:val="CompactTableText"/>
              <w:bidi w:val="0"/>
              <w:spacing w:lineRule="auto" w:line="264" w:before="0" w:after="43"/>
              <w:jc w:val="start"/>
              <w:rPr/>
            </w:pPr>
            <w:r>
              <w:rPr/>
              <w:t>5860</w:t>
            </w:r>
          </w:p>
        </w:tc>
        <w:tc>
          <w:tcPr>
            <w:tcW w:w="1440" w:type="dxa"/>
            <w:tcBorders>
              <w:bottom w:val="single" w:sz="2" w:space="0" w:color="CCCCCC"/>
            </w:tcBorders>
          </w:tcPr>
          <w:p>
            <w:pPr>
              <w:pStyle w:val="CompactTableText"/>
              <w:bidi w:val="0"/>
              <w:spacing w:lineRule="auto" w:line="264" w:before="0" w:after="43"/>
              <w:jc w:val="start"/>
              <w:rPr/>
            </w:pPr>
            <w:r>
              <w:rPr/>
              <w:t>600</w:t>
            </w:r>
          </w:p>
        </w:tc>
        <w:tc>
          <w:tcPr>
            <w:tcW w:w="1440" w:type="dxa"/>
            <w:tcBorders>
              <w:bottom w:val="single" w:sz="2" w:space="0" w:color="CCCCCC"/>
            </w:tcBorders>
          </w:tcPr>
          <w:p>
            <w:pPr>
              <w:pStyle w:val="CompactTableText"/>
              <w:bidi w:val="0"/>
              <w:spacing w:lineRule="auto" w:line="264" w:before="0" w:after="43"/>
              <w:jc w:val="start"/>
              <w:rPr/>
            </w:pPr>
            <w:r>
              <w:rPr/>
              <w:t>6460</w:t>
            </w:r>
          </w:p>
        </w:tc>
      </w:tr>
      <w:tr>
        <w:trPr/>
        <w:tc>
          <w:tcPr>
            <w:tcW w:w="3600" w:type="dxa"/>
            <w:tcBorders>
              <w:bottom w:val="single" w:sz="2" w:space="0" w:color="CCCCCC"/>
            </w:tcBorders>
          </w:tcPr>
          <w:p>
            <w:pPr>
              <w:pStyle w:val="CompactTableText"/>
              <w:bidi w:val="0"/>
              <w:spacing w:lineRule="auto" w:line="264" w:before="0" w:after="43"/>
              <w:jc w:val="start"/>
              <w:rPr/>
            </w:pPr>
            <w:r>
              <w:rPr/>
              <w:t>under torque</w:t>
            </w:r>
          </w:p>
        </w:tc>
        <w:tc>
          <w:tcPr>
            <w:tcW w:w="1440" w:type="dxa"/>
            <w:tcBorders>
              <w:bottom w:val="single" w:sz="2" w:space="0" w:color="CCCCCC"/>
            </w:tcBorders>
          </w:tcPr>
          <w:p>
            <w:pPr>
              <w:pStyle w:val="CompactTableText"/>
              <w:bidi w:val="0"/>
              <w:spacing w:lineRule="auto" w:line="264" w:before="0" w:after="43"/>
              <w:jc w:val="start"/>
              <w:rPr/>
            </w:pPr>
            <w:r>
              <w:rPr/>
              <w:t>10</w:t>
            </w:r>
          </w:p>
        </w:tc>
        <w:tc>
          <w:tcPr>
            <w:tcW w:w="1440" w:type="dxa"/>
            <w:tcBorders>
              <w:bottom w:val="single" w:sz="2" w:space="0" w:color="CCCCCC"/>
            </w:tcBorders>
          </w:tcPr>
          <w:p>
            <w:pPr>
              <w:pStyle w:val="CompactTableText"/>
              <w:bidi w:val="0"/>
              <w:spacing w:lineRule="auto" w:line="264" w:before="0" w:after="43"/>
              <w:jc w:val="start"/>
              <w:rPr/>
            </w:pPr>
            <w:r>
              <w:rPr/>
              <w:t>5860</w:t>
            </w:r>
          </w:p>
        </w:tc>
        <w:tc>
          <w:tcPr>
            <w:tcW w:w="1440" w:type="dxa"/>
            <w:tcBorders>
              <w:bottom w:val="single" w:sz="2" w:space="0" w:color="CCCCCC"/>
            </w:tcBorders>
          </w:tcPr>
          <w:p>
            <w:pPr>
              <w:pStyle w:val="CompactTableText"/>
              <w:bidi w:val="0"/>
              <w:spacing w:lineRule="auto" w:line="264" w:before="0" w:after="43"/>
              <w:jc w:val="start"/>
              <w:rPr/>
            </w:pPr>
            <w:r>
              <w:rPr/>
              <w:t>120</w:t>
            </w:r>
          </w:p>
        </w:tc>
        <w:tc>
          <w:tcPr>
            <w:tcW w:w="1440" w:type="dxa"/>
            <w:tcBorders>
              <w:bottom w:val="single" w:sz="2" w:space="0" w:color="CCCCCC"/>
            </w:tcBorders>
          </w:tcPr>
          <w:p>
            <w:pPr>
              <w:pStyle w:val="CompactTableText"/>
              <w:bidi w:val="0"/>
              <w:spacing w:lineRule="auto" w:line="264" w:before="0" w:after="43"/>
              <w:jc w:val="start"/>
              <w:rPr/>
            </w:pPr>
            <w:r>
              <w:rPr/>
              <w:t>5980</w:t>
            </w:r>
          </w:p>
        </w:tc>
      </w:tr>
      <w:tr>
        <w:trPr/>
        <w:tc>
          <w:tcPr>
            <w:tcW w:w="3600" w:type="dxa"/>
            <w:tcBorders>
              <w:bottom w:val="single" w:sz="2" w:space="0" w:color="CCCCCC"/>
            </w:tcBorders>
          </w:tcPr>
          <w:p>
            <w:pPr>
              <w:pStyle w:val="CompactTableText"/>
              <w:bidi w:val="0"/>
              <w:spacing w:lineRule="auto" w:line="264" w:before="0" w:after="43"/>
              <w:jc w:val="start"/>
              <w:rPr/>
            </w:pPr>
            <w:r>
              <w:rPr/>
              <w:t>skipped final stage</w:t>
            </w:r>
          </w:p>
        </w:tc>
        <w:tc>
          <w:tcPr>
            <w:tcW w:w="1440" w:type="dxa"/>
            <w:tcBorders>
              <w:bottom w:val="single" w:sz="2" w:space="0" w:color="CCCCCC"/>
            </w:tcBorders>
          </w:tcPr>
          <w:p>
            <w:pPr>
              <w:pStyle w:val="CompactTableText"/>
              <w:bidi w:val="0"/>
              <w:spacing w:lineRule="auto" w:line="264" w:before="0" w:after="43"/>
              <w:jc w:val="start"/>
              <w:rPr/>
            </w:pPr>
            <w:r>
              <w:rPr/>
              <w:t>10</w:t>
            </w:r>
          </w:p>
        </w:tc>
        <w:tc>
          <w:tcPr>
            <w:tcW w:w="1440" w:type="dxa"/>
            <w:tcBorders>
              <w:bottom w:val="single" w:sz="2" w:space="0" w:color="CCCCCC"/>
            </w:tcBorders>
          </w:tcPr>
          <w:p>
            <w:pPr>
              <w:pStyle w:val="CompactTableText"/>
              <w:bidi w:val="0"/>
              <w:spacing w:lineRule="auto" w:line="264" w:before="0" w:after="43"/>
              <w:jc w:val="start"/>
              <w:rPr/>
            </w:pPr>
            <w:r>
              <w:rPr/>
              <w:t>5740</w:t>
            </w:r>
          </w:p>
        </w:tc>
        <w:tc>
          <w:tcPr>
            <w:tcW w:w="1440" w:type="dxa"/>
            <w:tcBorders>
              <w:bottom w:val="single" w:sz="2" w:space="0" w:color="CCCCCC"/>
            </w:tcBorders>
          </w:tcPr>
          <w:p>
            <w:pPr>
              <w:pStyle w:val="CompactTableText"/>
              <w:bidi w:val="0"/>
              <w:spacing w:lineRule="auto" w:line="264" w:before="0" w:after="43"/>
              <w:jc w:val="start"/>
              <w:rPr/>
            </w:pPr>
            <w:r>
              <w:rPr/>
              <w:t>12</w:t>
            </w:r>
          </w:p>
        </w:tc>
        <w:tc>
          <w:tcPr>
            <w:tcW w:w="1440" w:type="dxa"/>
            <w:tcBorders>
              <w:bottom w:val="single" w:sz="2" w:space="0" w:color="CCCCCC"/>
            </w:tcBorders>
          </w:tcPr>
          <w:p>
            <w:pPr>
              <w:pStyle w:val="CompactTableText"/>
              <w:bidi w:val="0"/>
              <w:spacing w:lineRule="auto" w:line="264" w:before="0" w:after="43"/>
              <w:jc w:val="start"/>
              <w:rPr/>
            </w:pPr>
            <w:r>
              <w:rPr/>
              <w:t>5752</w:t>
            </w:r>
          </w:p>
        </w:tc>
      </w:tr>
      <w:tr>
        <w:trPr/>
        <w:tc>
          <w:tcPr>
            <w:tcW w:w="3600" w:type="dxa"/>
            <w:tcBorders>
              <w:bottom w:val="single" w:sz="2" w:space="0" w:color="CCCCCC"/>
            </w:tcBorders>
          </w:tcPr>
          <w:p>
            <w:pPr>
              <w:pStyle w:val="CompactTableText"/>
              <w:bidi w:val="0"/>
              <w:spacing w:lineRule="auto" w:line="264" w:before="0" w:after="43"/>
              <w:jc w:val="start"/>
              <w:rPr/>
            </w:pPr>
            <w:r>
              <w:rPr/>
              <w:t>wrong gasket</w:t>
            </w:r>
          </w:p>
        </w:tc>
        <w:tc>
          <w:tcPr>
            <w:tcW w:w="1440" w:type="dxa"/>
            <w:tcBorders>
              <w:bottom w:val="single" w:sz="2" w:space="0" w:color="CCCCCC"/>
            </w:tcBorders>
          </w:tcPr>
          <w:p>
            <w:pPr>
              <w:pStyle w:val="CompactTableText"/>
              <w:bidi w:val="0"/>
              <w:spacing w:lineRule="auto" w:line="264" w:before="0" w:after="43"/>
              <w:jc w:val="start"/>
              <w:rPr/>
            </w:pPr>
            <w:r>
              <w:rPr/>
              <w:t>10</w:t>
            </w:r>
          </w:p>
        </w:tc>
        <w:tc>
          <w:tcPr>
            <w:tcW w:w="1440" w:type="dxa"/>
            <w:tcBorders>
              <w:bottom w:val="single" w:sz="2" w:space="0" w:color="CCCCCC"/>
            </w:tcBorders>
          </w:tcPr>
          <w:p>
            <w:pPr>
              <w:pStyle w:val="CompactTableText"/>
              <w:bidi w:val="0"/>
              <w:spacing w:lineRule="auto" w:line="264" w:before="0" w:after="43"/>
              <w:jc w:val="start"/>
              <w:rPr/>
            </w:pPr>
            <w:r>
              <w:rPr/>
              <w:t>5860</w:t>
            </w:r>
          </w:p>
        </w:tc>
        <w:tc>
          <w:tcPr>
            <w:tcW w:w="1440" w:type="dxa"/>
            <w:tcBorders>
              <w:bottom w:val="single" w:sz="2" w:space="0" w:color="CCCCCC"/>
            </w:tcBorders>
          </w:tcPr>
          <w:p>
            <w:pPr>
              <w:pStyle w:val="CompactTableText"/>
              <w:bidi w:val="0"/>
              <w:spacing w:lineRule="auto" w:line="264" w:before="0" w:after="43"/>
              <w:jc w:val="start"/>
              <w:rPr/>
            </w:pPr>
            <w:r>
              <w:rPr/>
              <w:t>30</w:t>
            </w:r>
          </w:p>
        </w:tc>
        <w:tc>
          <w:tcPr>
            <w:tcW w:w="1440" w:type="dxa"/>
            <w:tcBorders>
              <w:bottom w:val="single" w:sz="2" w:space="0" w:color="CCCCCC"/>
            </w:tcBorders>
          </w:tcPr>
          <w:p>
            <w:pPr>
              <w:pStyle w:val="CompactTableText"/>
              <w:bidi w:val="0"/>
              <w:spacing w:lineRule="auto" w:line="264" w:before="0" w:after="43"/>
              <w:jc w:val="start"/>
              <w:rPr/>
            </w:pPr>
            <w:r>
              <w:rPr/>
              <w:t>5890</w:t>
            </w:r>
          </w:p>
        </w:tc>
      </w:tr>
      <w:tr>
        <w:trPr/>
        <w:tc>
          <w:tcPr>
            <w:tcW w:w="3600" w:type="dxa"/>
            <w:tcBorders>
              <w:bottom w:val="single" w:sz="2" w:space="0" w:color="CCCCCC"/>
            </w:tcBorders>
          </w:tcPr>
          <w:p>
            <w:pPr>
              <w:pStyle w:val="CompactTableText"/>
              <w:bidi w:val="0"/>
              <w:spacing w:lineRule="auto" w:line="264" w:before="0" w:after="43"/>
              <w:jc w:val="start"/>
              <w:rPr/>
            </w:pPr>
            <w:r>
              <w:rPr/>
              <w:t>reused stretched bolt</w:t>
            </w:r>
          </w:p>
        </w:tc>
        <w:tc>
          <w:tcPr>
            <w:tcW w:w="1440" w:type="dxa"/>
            <w:tcBorders>
              <w:bottom w:val="single" w:sz="2" w:space="0" w:color="CCCCCC"/>
            </w:tcBorders>
          </w:tcPr>
          <w:p>
            <w:pPr>
              <w:pStyle w:val="CompactTableText"/>
              <w:bidi w:val="0"/>
              <w:spacing w:lineRule="auto" w:line="264" w:before="0" w:after="43"/>
              <w:jc w:val="start"/>
              <w:rPr/>
            </w:pPr>
            <w:r>
              <w:rPr/>
              <w:t>9</w:t>
            </w:r>
          </w:p>
        </w:tc>
        <w:tc>
          <w:tcPr>
            <w:tcW w:w="1440" w:type="dxa"/>
            <w:tcBorders>
              <w:bottom w:val="single" w:sz="2" w:space="0" w:color="CCCCCC"/>
            </w:tcBorders>
          </w:tcPr>
          <w:p>
            <w:pPr>
              <w:pStyle w:val="CompactTableText"/>
              <w:bidi w:val="0"/>
              <w:spacing w:lineRule="auto" w:line="264" w:before="0" w:after="43"/>
              <w:jc w:val="start"/>
              <w:rPr/>
            </w:pPr>
            <w:r>
              <w:rPr/>
              <w:t>5830</w:t>
            </w:r>
          </w:p>
        </w:tc>
        <w:tc>
          <w:tcPr>
            <w:tcW w:w="1440" w:type="dxa"/>
            <w:tcBorders>
              <w:bottom w:val="single" w:sz="2" w:space="0" w:color="CCCCCC"/>
            </w:tcBorders>
          </w:tcPr>
          <w:p>
            <w:pPr>
              <w:pStyle w:val="CompactTableText"/>
              <w:bidi w:val="0"/>
              <w:spacing w:lineRule="auto" w:line="264" w:before="0" w:after="43"/>
              <w:jc w:val="start"/>
              <w:rPr/>
            </w:pPr>
            <w:r>
              <w:rPr/>
              <w:t>30</w:t>
            </w:r>
          </w:p>
        </w:tc>
        <w:tc>
          <w:tcPr>
            <w:tcW w:w="1440" w:type="dxa"/>
            <w:tcBorders>
              <w:bottom w:val="single" w:sz="2" w:space="0" w:color="CCCCCC"/>
            </w:tcBorders>
          </w:tcPr>
          <w:p>
            <w:pPr>
              <w:pStyle w:val="CompactTableText"/>
              <w:bidi w:val="0"/>
              <w:spacing w:lineRule="auto" w:line="264" w:before="0" w:after="43"/>
              <w:jc w:val="start"/>
              <w:rPr/>
            </w:pPr>
            <w:r>
              <w:rPr/>
              <w:t>5860</w:t>
            </w:r>
          </w:p>
        </w:tc>
      </w:tr>
      <w:tr>
        <w:trPr/>
        <w:tc>
          <w:tcPr>
            <w:tcW w:w="3600" w:type="dxa"/>
            <w:tcBorders>
              <w:bottom w:val="single" w:sz="2" w:space="0" w:color="CCCCCC"/>
            </w:tcBorders>
          </w:tcPr>
          <w:p>
            <w:pPr>
              <w:pStyle w:val="CompactTableText"/>
              <w:bidi w:val="0"/>
              <w:spacing w:lineRule="auto" w:line="264" w:before="0" w:after="43"/>
              <w:jc w:val="start"/>
              <w:rPr/>
            </w:pPr>
            <w:r>
              <w:rPr/>
              <w:t>wrong timing</w:t>
            </w:r>
          </w:p>
        </w:tc>
        <w:tc>
          <w:tcPr>
            <w:tcW w:w="1440" w:type="dxa"/>
            <w:tcBorders>
              <w:bottom w:val="single" w:sz="2" w:space="0" w:color="CCCCCC"/>
            </w:tcBorders>
          </w:tcPr>
          <w:p>
            <w:pPr>
              <w:pStyle w:val="CompactTableText"/>
              <w:bidi w:val="0"/>
              <w:spacing w:lineRule="auto" w:line="264" w:before="0" w:after="43"/>
              <w:jc w:val="start"/>
              <w:rPr/>
            </w:pPr>
            <w:r>
              <w:rPr/>
              <w:t>12</w:t>
            </w:r>
          </w:p>
        </w:tc>
        <w:tc>
          <w:tcPr>
            <w:tcW w:w="1440" w:type="dxa"/>
            <w:tcBorders>
              <w:bottom w:val="single" w:sz="2" w:space="0" w:color="CCCCCC"/>
            </w:tcBorders>
          </w:tcPr>
          <w:p>
            <w:pPr>
              <w:pStyle w:val="CompactTableText"/>
              <w:bidi w:val="0"/>
              <w:spacing w:lineRule="auto" w:line="264" w:before="0" w:after="43"/>
              <w:jc w:val="start"/>
              <w:rPr/>
            </w:pPr>
            <w:r>
              <w:rPr/>
              <w:t>5860</w:t>
            </w:r>
          </w:p>
        </w:tc>
        <w:tc>
          <w:tcPr>
            <w:tcW w:w="1440" w:type="dxa"/>
            <w:tcBorders>
              <w:bottom w:val="single" w:sz="2" w:space="0" w:color="CCCCCC"/>
            </w:tcBorders>
          </w:tcPr>
          <w:p>
            <w:pPr>
              <w:pStyle w:val="CompactTableText"/>
              <w:bidi w:val="0"/>
              <w:spacing w:lineRule="auto" w:line="264" w:before="0" w:after="43"/>
              <w:jc w:val="start"/>
              <w:rPr/>
            </w:pPr>
            <w:r>
              <w:rPr/>
              <w:t>120</w:t>
            </w:r>
          </w:p>
        </w:tc>
        <w:tc>
          <w:tcPr>
            <w:tcW w:w="1440" w:type="dxa"/>
            <w:tcBorders>
              <w:bottom w:val="single" w:sz="2" w:space="0" w:color="CCCCCC"/>
            </w:tcBorders>
          </w:tcPr>
          <w:p>
            <w:pPr>
              <w:pStyle w:val="CompactTableText"/>
              <w:bidi w:val="0"/>
              <w:spacing w:lineRule="auto" w:line="264" w:before="0" w:after="43"/>
              <w:jc w:val="start"/>
              <w:rPr/>
            </w:pPr>
            <w:r>
              <w:rPr/>
              <w:t>5980</w:t>
            </w:r>
          </w:p>
        </w:tc>
      </w:tr>
    </w:tbl>
    <w:p>
      <w:pPr>
        <w:pStyle w:val="Plain"/>
        <w:bidi w:val="0"/>
        <w:spacing w:lineRule="exact" w:line="365"/>
        <w:jc w:val="start"/>
        <w:rPr/>
      </w:pPr>
      <w:r>
        <w:rPr/>
        <w:t>The case name correct is inherited from its producer; the recorded draft checkpoints show that the baseline is incomplete. The reports lack model, agent-arm and current-variant identities. They cannot establish the revised correct reference or populate a model-by-variant results table. The timing fault also shares an already unmet timing checkpoint with the incomplete baseline, so equal aggregate scores do not demonstrate evaluator sensitivity to that fault.</w:t>
      </w:r>
    </w:p>
    <w:p>
      <w:pPr>
        <w:pStyle w:val="Plain"/>
        <w:bidi w:val="0"/>
        <w:spacing w:lineRule="exact" w:line="365"/>
        <w:jc w:val="start"/>
        <w:rPr/>
      </w:pPr>
      <w:r>
        <w:rPr/>
        <w:t>Charges are analyst task estimates, not measured technician time or a published labor-time standard. Model-call Steps, token counts, API-equivalent Cost and agent wall time are unavailable in these reports. The companion tables preserve those missing values and their reasons; tool attempts remain a separate field. Scripted case means have no inferential intervals and do not populate common-failure findings.</w:t>
      </w:r>
    </w:p>
    <w:p>
      <w:pPr>
        <w:sectPr>
          <w:type w:val="nextPage"/>
          <w:pgSz w:w="12240" w:h="15840"/>
          <w:pgMar w:left="1440" w:right="1440" w:gutter="0" w:header="0" w:top="1440" w:footer="0" w:bottom="1440"/>
          <w:pgNumType w:fmt="decimal"/>
          <w:formProt w:val="false"/>
          <w:textDirection w:val="lrTb"/>
          <w:docGrid w:type="default" w:linePitch="600" w:charSpace="32768"/>
        </w:sectPr>
        <w:pStyle w:val="Plain"/>
        <w:bidi w:val="0"/>
        <w:spacing w:lineRule="exact" w:line="365"/>
        <w:jc w:val="start"/>
        <w:rPr/>
      </w:pPr>
      <w:r>
        <w:rPr/>
        <w:t>For later model runs, every row must retain the collector identity, task and evaluator versions, original report and telemetry provenance. The reducer keeps interrupted and unsuccessful attempts, checks weighted checkpoint arithmetic and labor-ledger totals, and preserves unknown component observations. Complete means are withheld when a component is missing; any available-case mean has its own denominator. The prepared analysis resamples whole runs within declared variants, never individual bolts.</w:t>
      </w:r>
    </w:p>
    <w:p>
      <w:pPr>
        <w:pStyle w:val="LandscapeFigureHeading"/>
        <w:bidi w:val="0"/>
        <w:jc w:val="start"/>
        <w:rPr/>
      </w:pPr>
      <w:r>
        <w:rPr/>
        <w:t>Appendix F. Original-rule scripted references</w:t>
      </w:r>
    </w:p>
    <w:p>
      <w:pPr>
        <w:pStyle w:val="Plain"/>
        <w:bidi w:val="0"/>
        <w:spacing w:lineRule="exact" w:line="365"/>
        <w:jc w:val="start"/>
        <w:rPr/>
      </w:pPr>
      <w:r>
        <w:rPr/>
        <w:t>These saved procedures complete the original signed checkpoint rules in the environment scorer and the independent scorer. They are scripted references, not model attempts. Each uses the earlier disassembly policy and requires both gaskets to be new; the later allowance for an inspected cover gasket and the grouped rocker route were not applied retroactively.</w:t>
      </w:r>
    </w:p>
    <w:p>
      <w:pPr>
        <w:pStyle w:val="TableCaption"/>
        <w:keepNext w:val="true"/>
        <w:bidi w:val="0"/>
        <w:jc w:val="start"/>
        <w:rPr/>
      </w:pPr>
      <w:r>
        <w:rPr/>
        <w:t>Table 37. Appendix F. Original-rule scripted references</w:t>
      </w:r>
    </w:p>
    <w:tbl>
      <w:tblPr>
        <w:tblW w:w="12960" w:type="dxa"/>
        <w:jc w:val="start"/>
        <w:tblInd w:w="0" w:type="dxa"/>
        <w:tblLayout w:type="fixed"/>
        <w:tblCellMar>
          <w:top w:w="58" w:type="dxa"/>
          <w:start w:w="58" w:type="dxa"/>
          <w:bottom w:w="58" w:type="dxa"/>
          <w:end w:w="58" w:type="dxa"/>
        </w:tblCellMar>
      </w:tblPr>
      <w:tblGrid>
        <w:gridCol w:w="1851"/>
        <w:gridCol w:w="1851"/>
        <w:gridCol w:w="1851"/>
        <w:gridCol w:w="1851"/>
        <w:gridCol w:w="1851"/>
        <w:gridCol w:w="1851"/>
        <w:gridCol w:w="1854"/>
      </w:tblGrid>
      <w:tr>
        <w:trPr/>
        <w:tc>
          <w:tcPr>
            <w:tcW w:w="1851" w:type="dxa"/>
            <w:tcBorders>
              <w:bottom w:val="single" w:sz="2" w:space="0" w:color="CCCCCC"/>
            </w:tcBorders>
          </w:tcPr>
          <w:p>
            <w:pPr>
              <w:pStyle w:val="CompactTableText"/>
              <w:bidi w:val="0"/>
              <w:spacing w:lineRule="auto" w:line="264" w:before="0" w:after="43"/>
              <w:jc w:val="start"/>
              <w:rPr/>
            </w:pPr>
            <w:r>
              <w:rPr>
                <w:rStyle w:val="Tb"/>
              </w:rPr>
              <w:t>Variant</w:t>
            </w:r>
          </w:p>
        </w:tc>
        <w:tc>
          <w:tcPr>
            <w:tcW w:w="1851" w:type="dxa"/>
            <w:tcBorders>
              <w:bottom w:val="single" w:sz="2" w:space="0" w:color="CCCCCC"/>
            </w:tcBorders>
          </w:tcPr>
          <w:p>
            <w:pPr>
              <w:pStyle w:val="CompactTableText"/>
              <w:bidi w:val="0"/>
              <w:spacing w:lineRule="auto" w:line="264" w:before="0" w:after="43"/>
              <w:jc w:val="start"/>
              <w:rPr/>
            </w:pPr>
            <w:r>
              <w:rPr>
                <w:rStyle w:val="Tb"/>
              </w:rPr>
              <w:t>Environment points</w:t>
            </w:r>
          </w:p>
        </w:tc>
        <w:tc>
          <w:tcPr>
            <w:tcW w:w="1851" w:type="dxa"/>
            <w:tcBorders>
              <w:bottom w:val="single" w:sz="2" w:space="0" w:color="CCCCCC"/>
            </w:tcBorders>
          </w:tcPr>
          <w:p>
            <w:pPr>
              <w:pStyle w:val="CompactTableText"/>
              <w:bidi w:val="0"/>
              <w:spacing w:lineRule="auto" w:line="264" w:before="0" w:after="43"/>
              <w:jc w:val="start"/>
              <w:rPr/>
            </w:pPr>
            <w:r>
              <w:rPr>
                <w:rStyle w:val="Tb"/>
              </w:rPr>
              <w:t>Independent points</w:t>
            </w:r>
          </w:p>
        </w:tc>
        <w:tc>
          <w:tcPr>
            <w:tcW w:w="1851" w:type="dxa"/>
            <w:tcBorders>
              <w:bottom w:val="single" w:sz="2" w:space="0" w:color="CCCCCC"/>
            </w:tcBorders>
          </w:tcPr>
          <w:p>
            <w:pPr>
              <w:pStyle w:val="CompactTableText"/>
              <w:bidi w:val="0"/>
              <w:spacing w:lineRule="auto" w:line="264" w:before="0" w:after="43"/>
              <w:jc w:val="start"/>
              <w:rPr/>
            </w:pPr>
            <w:r>
              <w:rPr>
                <w:rStyle w:val="Tb"/>
              </w:rPr>
              <w:t>Tool actions</w:t>
            </w:r>
          </w:p>
        </w:tc>
        <w:tc>
          <w:tcPr>
            <w:tcW w:w="1851" w:type="dxa"/>
            <w:tcBorders>
              <w:bottom w:val="single" w:sz="2" w:space="0" w:color="CCCCCC"/>
            </w:tcBorders>
          </w:tcPr>
          <w:p>
            <w:pPr>
              <w:pStyle w:val="CompactTableText"/>
              <w:bidi w:val="0"/>
              <w:spacing w:lineRule="auto" w:line="264" w:before="0" w:after="43"/>
              <w:jc w:val="start"/>
              <w:rPr/>
            </w:pPr>
            <w:r>
              <w:rPr>
                <w:rStyle w:val="Tb"/>
              </w:rPr>
              <w:t>Productive seconds</w:t>
            </w:r>
          </w:p>
        </w:tc>
        <w:tc>
          <w:tcPr>
            <w:tcW w:w="1851" w:type="dxa"/>
            <w:tcBorders>
              <w:bottom w:val="single" w:sz="2" w:space="0" w:color="CCCCCC"/>
            </w:tcBorders>
          </w:tcPr>
          <w:p>
            <w:pPr>
              <w:pStyle w:val="CompactTableText"/>
              <w:bidi w:val="0"/>
              <w:spacing w:lineRule="auto" w:line="264" w:before="0" w:after="43"/>
              <w:jc w:val="start"/>
              <w:rPr/>
            </w:pPr>
            <w:r>
              <w:rPr>
                <w:rStyle w:val="Tb"/>
              </w:rPr>
              <w:t>Penalty seconds</w:t>
            </w:r>
          </w:p>
        </w:tc>
        <w:tc>
          <w:tcPr>
            <w:tcW w:w="1854" w:type="dxa"/>
            <w:tcBorders>
              <w:bottom w:val="single" w:sz="2" w:space="0" w:color="CCCCCC"/>
            </w:tcBorders>
          </w:tcPr>
          <w:p>
            <w:pPr>
              <w:pStyle w:val="CompactTableText"/>
              <w:bidi w:val="0"/>
              <w:spacing w:lineRule="auto" w:line="264" w:before="0" w:after="43"/>
              <w:jc w:val="start"/>
              <w:rPr/>
            </w:pPr>
            <w:r>
              <w:rPr>
                <w:rStyle w:val="Tb"/>
              </w:rPr>
              <w:t>Charged seconds</w:t>
            </w:r>
          </w:p>
        </w:tc>
      </w:tr>
      <w:tr>
        <w:trPr/>
        <w:tc>
          <w:tcPr>
            <w:tcW w:w="1851" w:type="dxa"/>
            <w:tcBorders>
              <w:bottom w:val="single" w:sz="2" w:space="0" w:color="CCCCCC"/>
            </w:tcBorders>
          </w:tcPr>
          <w:p>
            <w:pPr>
              <w:pStyle w:val="CompactTableText"/>
              <w:bidi w:val="0"/>
              <w:spacing w:lineRule="auto" w:line="264" w:before="0" w:after="43"/>
              <w:jc w:val="start"/>
              <w:rPr/>
            </w:pPr>
            <w:r>
              <w:rPr/>
              <w:t>V1</w:t>
            </w:r>
          </w:p>
        </w:tc>
        <w:tc>
          <w:tcPr>
            <w:tcW w:w="1851" w:type="dxa"/>
            <w:tcBorders>
              <w:bottom w:val="single" w:sz="2" w:space="0" w:color="CCCCCC"/>
            </w:tcBorders>
          </w:tcPr>
          <w:p>
            <w:pPr>
              <w:pStyle w:val="CompactTableText"/>
              <w:bidi w:val="0"/>
              <w:spacing w:lineRule="auto" w:line="264" w:before="0" w:after="43"/>
              <w:jc w:val="start"/>
              <w:rPr/>
            </w:pPr>
            <w:r>
              <w:rPr/>
              <w:t>18/18</w:t>
            </w:r>
          </w:p>
        </w:tc>
        <w:tc>
          <w:tcPr>
            <w:tcW w:w="1851" w:type="dxa"/>
            <w:tcBorders>
              <w:bottom w:val="single" w:sz="2" w:space="0" w:color="CCCCCC"/>
            </w:tcBorders>
          </w:tcPr>
          <w:p>
            <w:pPr>
              <w:pStyle w:val="CompactTableText"/>
              <w:bidi w:val="0"/>
              <w:spacing w:lineRule="auto" w:line="264" w:before="0" w:after="43"/>
              <w:jc w:val="start"/>
              <w:rPr/>
            </w:pPr>
            <w:r>
              <w:rPr/>
              <w:t>18/18</w:t>
            </w:r>
          </w:p>
        </w:tc>
        <w:tc>
          <w:tcPr>
            <w:tcW w:w="1851" w:type="dxa"/>
            <w:tcBorders>
              <w:bottom w:val="single" w:sz="2" w:space="0" w:color="CCCCCC"/>
            </w:tcBorders>
          </w:tcPr>
          <w:p>
            <w:pPr>
              <w:pStyle w:val="CompactTableText"/>
              <w:bidi w:val="0"/>
              <w:spacing w:lineRule="auto" w:line="264" w:before="0" w:after="43"/>
              <w:jc w:val="start"/>
              <w:rPr/>
            </w:pPr>
            <w:r>
              <w:rPr/>
              <w:t>450</w:t>
            </w:r>
          </w:p>
        </w:tc>
        <w:tc>
          <w:tcPr>
            <w:tcW w:w="1851" w:type="dxa"/>
            <w:tcBorders>
              <w:bottom w:val="single" w:sz="2" w:space="0" w:color="CCCCCC"/>
            </w:tcBorders>
          </w:tcPr>
          <w:p>
            <w:pPr>
              <w:pStyle w:val="CompactTableText"/>
              <w:bidi w:val="0"/>
              <w:spacing w:lineRule="auto" w:line="264" w:before="0" w:after="43"/>
              <w:jc w:val="start"/>
              <w:rPr/>
            </w:pPr>
            <w:r>
              <w:rPr/>
              <w:t>14050</w:t>
            </w:r>
          </w:p>
        </w:tc>
        <w:tc>
          <w:tcPr>
            <w:tcW w:w="1851" w:type="dxa"/>
            <w:tcBorders>
              <w:bottom w:val="single" w:sz="2" w:space="0" w:color="CCCCCC"/>
            </w:tcBorders>
          </w:tcPr>
          <w:p>
            <w:pPr>
              <w:pStyle w:val="CompactTableText"/>
              <w:bidi w:val="0"/>
              <w:spacing w:lineRule="auto" w:line="264" w:before="0" w:after="43"/>
              <w:jc w:val="start"/>
              <w:rPr/>
            </w:pPr>
            <w:r>
              <w:rPr/>
              <w:t>0</w:t>
            </w:r>
          </w:p>
        </w:tc>
        <w:tc>
          <w:tcPr>
            <w:tcW w:w="1854" w:type="dxa"/>
            <w:tcBorders>
              <w:bottom w:val="single" w:sz="2" w:space="0" w:color="CCCCCC"/>
            </w:tcBorders>
          </w:tcPr>
          <w:p>
            <w:pPr>
              <w:pStyle w:val="CompactTableText"/>
              <w:bidi w:val="0"/>
              <w:spacing w:lineRule="auto" w:line="264" w:before="0" w:after="43"/>
              <w:jc w:val="start"/>
              <w:rPr/>
            </w:pPr>
            <w:r>
              <w:rPr/>
              <w:t>14050</w:t>
            </w:r>
          </w:p>
        </w:tc>
      </w:tr>
      <w:tr>
        <w:trPr/>
        <w:tc>
          <w:tcPr>
            <w:tcW w:w="1851" w:type="dxa"/>
            <w:tcBorders>
              <w:bottom w:val="single" w:sz="2" w:space="0" w:color="CCCCCC"/>
            </w:tcBorders>
          </w:tcPr>
          <w:p>
            <w:pPr>
              <w:pStyle w:val="CompactTableText"/>
              <w:bidi w:val="0"/>
              <w:spacing w:lineRule="auto" w:line="264" w:before="0" w:after="43"/>
              <w:jc w:val="start"/>
              <w:rPr/>
            </w:pPr>
            <w:r>
              <w:rPr/>
              <w:t>V2</w:t>
            </w:r>
          </w:p>
        </w:tc>
        <w:tc>
          <w:tcPr>
            <w:tcW w:w="1851" w:type="dxa"/>
            <w:tcBorders>
              <w:bottom w:val="single" w:sz="2" w:space="0" w:color="CCCCCC"/>
            </w:tcBorders>
          </w:tcPr>
          <w:p>
            <w:pPr>
              <w:pStyle w:val="CompactTableText"/>
              <w:bidi w:val="0"/>
              <w:spacing w:lineRule="auto" w:line="264" w:before="0" w:after="43"/>
              <w:jc w:val="start"/>
              <w:rPr/>
            </w:pPr>
            <w:r>
              <w:rPr/>
              <w:t>18/18</w:t>
            </w:r>
          </w:p>
        </w:tc>
        <w:tc>
          <w:tcPr>
            <w:tcW w:w="1851" w:type="dxa"/>
            <w:tcBorders>
              <w:bottom w:val="single" w:sz="2" w:space="0" w:color="CCCCCC"/>
            </w:tcBorders>
          </w:tcPr>
          <w:p>
            <w:pPr>
              <w:pStyle w:val="CompactTableText"/>
              <w:bidi w:val="0"/>
              <w:spacing w:lineRule="auto" w:line="264" w:before="0" w:after="43"/>
              <w:jc w:val="start"/>
              <w:rPr/>
            </w:pPr>
            <w:r>
              <w:rPr/>
              <w:t>18/18</w:t>
            </w:r>
          </w:p>
        </w:tc>
        <w:tc>
          <w:tcPr>
            <w:tcW w:w="1851" w:type="dxa"/>
            <w:tcBorders>
              <w:bottom w:val="single" w:sz="2" w:space="0" w:color="CCCCCC"/>
            </w:tcBorders>
          </w:tcPr>
          <w:p>
            <w:pPr>
              <w:pStyle w:val="CompactTableText"/>
              <w:bidi w:val="0"/>
              <w:spacing w:lineRule="auto" w:line="264" w:before="0" w:after="43"/>
              <w:jc w:val="start"/>
              <w:rPr/>
            </w:pPr>
            <w:r>
              <w:rPr/>
              <w:t>451</w:t>
            </w:r>
          </w:p>
        </w:tc>
        <w:tc>
          <w:tcPr>
            <w:tcW w:w="1851" w:type="dxa"/>
            <w:tcBorders>
              <w:bottom w:val="single" w:sz="2" w:space="0" w:color="CCCCCC"/>
            </w:tcBorders>
          </w:tcPr>
          <w:p>
            <w:pPr>
              <w:pStyle w:val="CompactTableText"/>
              <w:bidi w:val="0"/>
              <w:spacing w:lineRule="auto" w:line="264" w:before="0" w:after="43"/>
              <w:jc w:val="start"/>
              <w:rPr/>
            </w:pPr>
            <w:r>
              <w:rPr/>
              <w:t>14080</w:t>
            </w:r>
          </w:p>
        </w:tc>
        <w:tc>
          <w:tcPr>
            <w:tcW w:w="1851" w:type="dxa"/>
            <w:tcBorders>
              <w:bottom w:val="single" w:sz="2" w:space="0" w:color="CCCCCC"/>
            </w:tcBorders>
          </w:tcPr>
          <w:p>
            <w:pPr>
              <w:pStyle w:val="CompactTableText"/>
              <w:bidi w:val="0"/>
              <w:spacing w:lineRule="auto" w:line="264" w:before="0" w:after="43"/>
              <w:jc w:val="start"/>
              <w:rPr/>
            </w:pPr>
            <w:r>
              <w:rPr/>
              <w:t>0</w:t>
            </w:r>
          </w:p>
        </w:tc>
        <w:tc>
          <w:tcPr>
            <w:tcW w:w="1854" w:type="dxa"/>
            <w:tcBorders>
              <w:bottom w:val="single" w:sz="2" w:space="0" w:color="CCCCCC"/>
            </w:tcBorders>
          </w:tcPr>
          <w:p>
            <w:pPr>
              <w:pStyle w:val="CompactTableText"/>
              <w:bidi w:val="0"/>
              <w:spacing w:lineRule="auto" w:line="264" w:before="0" w:after="43"/>
              <w:jc w:val="start"/>
              <w:rPr/>
            </w:pPr>
            <w:r>
              <w:rPr/>
              <w:t>14080</w:t>
            </w:r>
          </w:p>
        </w:tc>
      </w:tr>
      <w:tr>
        <w:trPr/>
        <w:tc>
          <w:tcPr>
            <w:tcW w:w="1851" w:type="dxa"/>
            <w:tcBorders>
              <w:bottom w:val="single" w:sz="2" w:space="0" w:color="CCCCCC"/>
            </w:tcBorders>
          </w:tcPr>
          <w:p>
            <w:pPr>
              <w:pStyle w:val="CompactTableText"/>
              <w:bidi w:val="0"/>
              <w:spacing w:lineRule="auto" w:line="264" w:before="0" w:after="43"/>
              <w:jc w:val="start"/>
              <w:rPr/>
            </w:pPr>
            <w:r>
              <w:rPr/>
              <w:t>V3</w:t>
            </w:r>
          </w:p>
        </w:tc>
        <w:tc>
          <w:tcPr>
            <w:tcW w:w="1851" w:type="dxa"/>
            <w:tcBorders>
              <w:bottom w:val="single" w:sz="2" w:space="0" w:color="CCCCCC"/>
            </w:tcBorders>
          </w:tcPr>
          <w:p>
            <w:pPr>
              <w:pStyle w:val="CompactTableText"/>
              <w:bidi w:val="0"/>
              <w:spacing w:lineRule="auto" w:line="264" w:before="0" w:after="43"/>
              <w:jc w:val="start"/>
              <w:rPr/>
            </w:pPr>
            <w:r>
              <w:rPr/>
              <w:t>18/18</w:t>
            </w:r>
          </w:p>
        </w:tc>
        <w:tc>
          <w:tcPr>
            <w:tcW w:w="1851" w:type="dxa"/>
            <w:tcBorders>
              <w:bottom w:val="single" w:sz="2" w:space="0" w:color="CCCCCC"/>
            </w:tcBorders>
          </w:tcPr>
          <w:p>
            <w:pPr>
              <w:pStyle w:val="CompactTableText"/>
              <w:bidi w:val="0"/>
              <w:spacing w:lineRule="auto" w:line="264" w:before="0" w:after="43"/>
              <w:jc w:val="start"/>
              <w:rPr/>
            </w:pPr>
            <w:r>
              <w:rPr/>
              <w:t>18/18</w:t>
            </w:r>
          </w:p>
        </w:tc>
        <w:tc>
          <w:tcPr>
            <w:tcW w:w="1851" w:type="dxa"/>
            <w:tcBorders>
              <w:bottom w:val="single" w:sz="2" w:space="0" w:color="CCCCCC"/>
            </w:tcBorders>
          </w:tcPr>
          <w:p>
            <w:pPr>
              <w:pStyle w:val="CompactTableText"/>
              <w:bidi w:val="0"/>
              <w:spacing w:lineRule="auto" w:line="264" w:before="0" w:after="43"/>
              <w:jc w:val="start"/>
              <w:rPr/>
            </w:pPr>
            <w:r>
              <w:rPr/>
              <w:t>452</w:t>
            </w:r>
          </w:p>
        </w:tc>
        <w:tc>
          <w:tcPr>
            <w:tcW w:w="1851" w:type="dxa"/>
            <w:tcBorders>
              <w:bottom w:val="single" w:sz="2" w:space="0" w:color="CCCCCC"/>
            </w:tcBorders>
          </w:tcPr>
          <w:p>
            <w:pPr>
              <w:pStyle w:val="CompactTableText"/>
              <w:bidi w:val="0"/>
              <w:spacing w:lineRule="auto" w:line="264" w:before="0" w:after="43"/>
              <w:jc w:val="start"/>
              <w:rPr/>
            </w:pPr>
            <w:r>
              <w:rPr/>
              <w:t>15310</w:t>
            </w:r>
          </w:p>
        </w:tc>
        <w:tc>
          <w:tcPr>
            <w:tcW w:w="1851" w:type="dxa"/>
            <w:tcBorders>
              <w:bottom w:val="single" w:sz="2" w:space="0" w:color="CCCCCC"/>
            </w:tcBorders>
          </w:tcPr>
          <w:p>
            <w:pPr>
              <w:pStyle w:val="CompactTableText"/>
              <w:bidi w:val="0"/>
              <w:spacing w:lineRule="auto" w:line="264" w:before="0" w:after="43"/>
              <w:jc w:val="start"/>
              <w:rPr/>
            </w:pPr>
            <w:r>
              <w:rPr/>
              <w:t>0</w:t>
            </w:r>
          </w:p>
        </w:tc>
        <w:tc>
          <w:tcPr>
            <w:tcW w:w="1854" w:type="dxa"/>
            <w:tcBorders>
              <w:bottom w:val="single" w:sz="2" w:space="0" w:color="CCCCCC"/>
            </w:tcBorders>
          </w:tcPr>
          <w:p>
            <w:pPr>
              <w:pStyle w:val="CompactTableText"/>
              <w:bidi w:val="0"/>
              <w:spacing w:lineRule="auto" w:line="264" w:before="0" w:after="43"/>
              <w:jc w:val="start"/>
              <w:rPr/>
            </w:pPr>
            <w:r>
              <w:rPr/>
              <w:t>15310</w:t>
            </w:r>
          </w:p>
        </w:tc>
      </w:tr>
      <w:tr>
        <w:trPr/>
        <w:tc>
          <w:tcPr>
            <w:tcW w:w="1851" w:type="dxa"/>
            <w:tcBorders>
              <w:bottom w:val="single" w:sz="2" w:space="0" w:color="CCCCCC"/>
            </w:tcBorders>
          </w:tcPr>
          <w:p>
            <w:pPr>
              <w:pStyle w:val="CompactTableText"/>
              <w:bidi w:val="0"/>
              <w:spacing w:lineRule="auto" w:line="264" w:before="0" w:after="43"/>
              <w:jc w:val="start"/>
              <w:rPr/>
            </w:pPr>
            <w:r>
              <w:rPr/>
              <w:t>V4</w:t>
            </w:r>
          </w:p>
        </w:tc>
        <w:tc>
          <w:tcPr>
            <w:tcW w:w="1851" w:type="dxa"/>
            <w:tcBorders>
              <w:bottom w:val="single" w:sz="2" w:space="0" w:color="CCCCCC"/>
            </w:tcBorders>
          </w:tcPr>
          <w:p>
            <w:pPr>
              <w:pStyle w:val="CompactTableText"/>
              <w:bidi w:val="0"/>
              <w:spacing w:lineRule="auto" w:line="264" w:before="0" w:after="43"/>
              <w:jc w:val="start"/>
              <w:rPr/>
            </w:pPr>
            <w:r>
              <w:rPr/>
              <w:t>18/18</w:t>
            </w:r>
          </w:p>
        </w:tc>
        <w:tc>
          <w:tcPr>
            <w:tcW w:w="1851" w:type="dxa"/>
            <w:tcBorders>
              <w:bottom w:val="single" w:sz="2" w:space="0" w:color="CCCCCC"/>
            </w:tcBorders>
          </w:tcPr>
          <w:p>
            <w:pPr>
              <w:pStyle w:val="CompactTableText"/>
              <w:bidi w:val="0"/>
              <w:spacing w:lineRule="auto" w:line="264" w:before="0" w:after="43"/>
              <w:jc w:val="start"/>
              <w:rPr/>
            </w:pPr>
            <w:r>
              <w:rPr/>
              <w:t>18/18</w:t>
            </w:r>
          </w:p>
        </w:tc>
        <w:tc>
          <w:tcPr>
            <w:tcW w:w="1851" w:type="dxa"/>
            <w:tcBorders>
              <w:bottom w:val="single" w:sz="2" w:space="0" w:color="CCCCCC"/>
            </w:tcBorders>
          </w:tcPr>
          <w:p>
            <w:pPr>
              <w:pStyle w:val="CompactTableText"/>
              <w:bidi w:val="0"/>
              <w:spacing w:lineRule="auto" w:line="264" w:before="0" w:after="43"/>
              <w:jc w:val="start"/>
              <w:rPr/>
            </w:pPr>
            <w:r>
              <w:rPr/>
              <w:t>452</w:t>
            </w:r>
          </w:p>
        </w:tc>
        <w:tc>
          <w:tcPr>
            <w:tcW w:w="1851" w:type="dxa"/>
            <w:tcBorders>
              <w:bottom w:val="single" w:sz="2" w:space="0" w:color="CCCCCC"/>
            </w:tcBorders>
          </w:tcPr>
          <w:p>
            <w:pPr>
              <w:pStyle w:val="CompactTableText"/>
              <w:bidi w:val="0"/>
              <w:spacing w:lineRule="auto" w:line="264" w:before="0" w:after="43"/>
              <w:jc w:val="start"/>
              <w:rPr/>
            </w:pPr>
            <w:r>
              <w:rPr/>
              <w:t>14140</w:t>
            </w:r>
          </w:p>
        </w:tc>
        <w:tc>
          <w:tcPr>
            <w:tcW w:w="1851" w:type="dxa"/>
            <w:tcBorders>
              <w:bottom w:val="single" w:sz="2" w:space="0" w:color="CCCCCC"/>
            </w:tcBorders>
          </w:tcPr>
          <w:p>
            <w:pPr>
              <w:pStyle w:val="CompactTableText"/>
              <w:bidi w:val="0"/>
              <w:spacing w:lineRule="auto" w:line="264" w:before="0" w:after="43"/>
              <w:jc w:val="start"/>
              <w:rPr/>
            </w:pPr>
            <w:r>
              <w:rPr/>
              <w:t>0</w:t>
            </w:r>
          </w:p>
        </w:tc>
        <w:tc>
          <w:tcPr>
            <w:tcW w:w="1854" w:type="dxa"/>
            <w:tcBorders>
              <w:bottom w:val="single" w:sz="2" w:space="0" w:color="CCCCCC"/>
            </w:tcBorders>
          </w:tcPr>
          <w:p>
            <w:pPr>
              <w:pStyle w:val="CompactTableText"/>
              <w:bidi w:val="0"/>
              <w:spacing w:lineRule="auto" w:line="264" w:before="0" w:after="43"/>
              <w:jc w:val="start"/>
              <w:rPr/>
            </w:pPr>
            <w:r>
              <w:rPr/>
              <w:t>14140</w:t>
            </w:r>
          </w:p>
        </w:tc>
      </w:tr>
      <w:tr>
        <w:trPr/>
        <w:tc>
          <w:tcPr>
            <w:tcW w:w="1851" w:type="dxa"/>
            <w:tcBorders>
              <w:bottom w:val="single" w:sz="2" w:space="0" w:color="CCCCCC"/>
            </w:tcBorders>
          </w:tcPr>
          <w:p>
            <w:pPr>
              <w:pStyle w:val="CompactTableText"/>
              <w:bidi w:val="0"/>
              <w:spacing w:lineRule="auto" w:line="264" w:before="0" w:after="43"/>
              <w:jc w:val="start"/>
              <w:rPr/>
            </w:pPr>
            <w:r>
              <w:rPr/>
              <w:t>V5</w:t>
            </w:r>
          </w:p>
        </w:tc>
        <w:tc>
          <w:tcPr>
            <w:tcW w:w="1851" w:type="dxa"/>
            <w:tcBorders>
              <w:bottom w:val="single" w:sz="2" w:space="0" w:color="CCCCCC"/>
            </w:tcBorders>
          </w:tcPr>
          <w:p>
            <w:pPr>
              <w:pStyle w:val="CompactTableText"/>
              <w:bidi w:val="0"/>
              <w:spacing w:lineRule="auto" w:line="264" w:before="0" w:after="43"/>
              <w:jc w:val="start"/>
              <w:rPr/>
            </w:pPr>
            <w:r>
              <w:rPr/>
              <w:t>18/18</w:t>
            </w:r>
          </w:p>
        </w:tc>
        <w:tc>
          <w:tcPr>
            <w:tcW w:w="1851" w:type="dxa"/>
            <w:tcBorders>
              <w:bottom w:val="single" w:sz="2" w:space="0" w:color="CCCCCC"/>
            </w:tcBorders>
          </w:tcPr>
          <w:p>
            <w:pPr>
              <w:pStyle w:val="CompactTableText"/>
              <w:bidi w:val="0"/>
              <w:spacing w:lineRule="auto" w:line="264" w:before="0" w:after="43"/>
              <w:jc w:val="start"/>
              <w:rPr/>
            </w:pPr>
            <w:r>
              <w:rPr/>
              <w:t>18/18</w:t>
            </w:r>
          </w:p>
        </w:tc>
        <w:tc>
          <w:tcPr>
            <w:tcW w:w="1851" w:type="dxa"/>
            <w:tcBorders>
              <w:bottom w:val="single" w:sz="2" w:space="0" w:color="CCCCCC"/>
            </w:tcBorders>
          </w:tcPr>
          <w:p>
            <w:pPr>
              <w:pStyle w:val="CompactTableText"/>
              <w:bidi w:val="0"/>
              <w:spacing w:lineRule="auto" w:line="264" w:before="0" w:after="43"/>
              <w:jc w:val="start"/>
              <w:rPr/>
            </w:pPr>
            <w:r>
              <w:rPr/>
              <w:t>451</w:t>
            </w:r>
          </w:p>
        </w:tc>
        <w:tc>
          <w:tcPr>
            <w:tcW w:w="1851" w:type="dxa"/>
            <w:tcBorders>
              <w:bottom w:val="single" w:sz="2" w:space="0" w:color="CCCCCC"/>
            </w:tcBorders>
          </w:tcPr>
          <w:p>
            <w:pPr>
              <w:pStyle w:val="CompactTableText"/>
              <w:bidi w:val="0"/>
              <w:spacing w:lineRule="auto" w:line="264" w:before="0" w:after="43"/>
              <w:jc w:val="start"/>
              <w:rPr/>
            </w:pPr>
            <w:r>
              <w:rPr/>
              <w:t>14080</w:t>
            </w:r>
          </w:p>
        </w:tc>
        <w:tc>
          <w:tcPr>
            <w:tcW w:w="1851" w:type="dxa"/>
            <w:tcBorders>
              <w:bottom w:val="single" w:sz="2" w:space="0" w:color="CCCCCC"/>
            </w:tcBorders>
          </w:tcPr>
          <w:p>
            <w:pPr>
              <w:pStyle w:val="CompactTableText"/>
              <w:bidi w:val="0"/>
              <w:spacing w:lineRule="auto" w:line="264" w:before="0" w:after="43"/>
              <w:jc w:val="start"/>
              <w:rPr/>
            </w:pPr>
            <w:r>
              <w:rPr/>
              <w:t>0</w:t>
            </w:r>
          </w:p>
        </w:tc>
        <w:tc>
          <w:tcPr>
            <w:tcW w:w="1854" w:type="dxa"/>
            <w:tcBorders>
              <w:bottom w:val="single" w:sz="2" w:space="0" w:color="CCCCCC"/>
            </w:tcBorders>
          </w:tcPr>
          <w:p>
            <w:pPr>
              <w:pStyle w:val="CompactTableText"/>
              <w:bidi w:val="0"/>
              <w:spacing w:lineRule="auto" w:line="264" w:before="0" w:after="43"/>
              <w:jc w:val="start"/>
              <w:rPr/>
            </w:pPr>
            <w:r>
              <w:rPr/>
              <w:t>14080</w:t>
            </w:r>
          </w:p>
        </w:tc>
      </w:tr>
    </w:tbl>
    <w:p>
      <w:pPr>
        <w:pStyle w:val="Plain"/>
        <w:bidi w:val="0"/>
        <w:spacing w:lineRule="exact" w:line="365"/>
        <w:jc w:val="start"/>
        <w:rPr/>
      </w:pPr>
      <w:r>
        <w:rPr/>
        <w:t>Both scorers report full completion 1 and partial score 1.0 for each listed reference. Tool actions are not model-call Steps. Productive and penalty seconds are analyst charges, not elapsed mechanic time. The machining route carries a larger charge; the separately recorded replacement-head route is a different procedure and is not pooled into this table.</w:t>
      </w:r>
    </w:p>
    <w:p>
      <w:pPr>
        <w:pStyle w:val="Plain"/>
        <w:bidi w:val="0"/>
        <w:spacing w:lineRule="exact" w:line="365"/>
        <w:jc w:val="start"/>
        <w:rPr/>
      </w:pPr>
      <w:r>
        <w:rPr/>
        <w:t>Checkpoint outcomes and shared bolt, time and mistake values agree. This does not make the secondary checklists equivalent: the standard case has 1674 environment items and 2799 independent items, with unknown condition observations retained. Evidence descriptions also differ. Full service coverage and modeled checklist completion are not established. The comparison leaves external contract authentication as a separate requirement. These scripts record zero model and provider calls and zero reported API-equivalent cost. A separately computed token-priced Cost remains unavailable without dated rates. Agent wall time is unrecorded.</w:t>
      </w:r>
    </w:p>
    <w:p>
      <w:pPr>
        <w:sectPr>
          <w:type w:val="nextPage"/>
          <w:pgSz w:orient="landscape" w:w="15840" w:h="12240"/>
          <w:pgMar w:left="1440" w:right="1440" w:gutter="0" w:header="0" w:top="1440" w:footer="0" w:bottom="1440"/>
          <w:pgNumType w:fmt="decimal"/>
          <w:formProt w:val="false"/>
          <w:textDirection w:val="lrTb"/>
          <w:docGrid w:type="default" w:linePitch="600" w:charSpace="32768"/>
        </w:sectPr>
        <w:pStyle w:val="Plain"/>
        <w:bidi w:val="0"/>
        <w:spacing w:lineRule="exact" w:line="365"/>
        <w:jc w:val="start"/>
        <w:rPr/>
      </w:pPr>
      <w:r>
        <w:rPr/>
        <w:t>The older incomplete scripted cases above retain their original records. Neither cohort supplies agent performance or empirical model-failure rates. Runs under the amended rules require their own runtime and evaluator evidence.</w:t>
      </w:r>
    </w:p>
    <w:p>
      <w:pPr>
        <w:pStyle w:val="PortraitReturnHeading"/>
        <w:bidi w:val="0"/>
        <w:jc w:val="start"/>
        <w:rPr/>
      </w:pPr>
      <w:r>
        <w:rPr/>
        <w:t>Appendix G. Limitations</w:t>
      </w:r>
    </w:p>
    <w:p>
      <w:pPr>
        <w:pStyle w:val="Plain"/>
        <w:bidi w:val="0"/>
        <w:spacing w:lineRule="exact" w:line="365"/>
        <w:jc w:val="start"/>
        <w:rPr/>
      </w:pPr>
      <w:r>
        <w:rPr/>
        <w:t>One run per model; descriptive, not comparative. Technician-time charges are estimates requiring validation against published labour-time guides. Game performance is not physical repair validation.</w:t>
      </w:r>
    </w:p>
    <w:p>
      <w:pPr>
        <w:pStyle w:val="Plain"/>
        <w:bidi w:val="0"/>
        <w:spacing w:lineRule="exact" w:line="365"/>
        <w:jc w:val="start"/>
        <w:rPr/>
      </w:pPr>
      <w:r>
        <w:rPr/>
        <w:t>The model observations are exploratory attempts on a standard configured task. Requested model identifiers are known, but served identities and model-call Steps are unavailable. Geometric visibility, software action checks and finite mechanical predictions establish different aspects of the apparatus; they do not certify physical repair. Factory service applicability, physical machining and fit, full service coverage, external contract identity and professional labor-time sources remain qualified. Earlier incomplete diagnostics and complete original-rule references stay separate from amended-rule model attempts. The larger comparative study remains pending.</w:t>
      </w:r>
    </w:p>
    <w:p>
      <w:pPr>
        <w:pStyle w:val="Plain"/>
        <w:bidi w:val="0"/>
        <w:spacing w:lineRule="exact" w:line="365"/>
        <w:jc w:val="start"/>
        <w:rPr/>
      </w:pPr>
      <w:r>
        <w:rPr/>
        <w:t>The benchmark covers a prepared engine and a narrow repair procedure. It omits vehicle-level access, physical dexterity, workshop hazards and many inspection cues. Success in this game cannot certify a physical repair or authorize deployment on real equipment.</w:t>
      </w:r>
    </w:p>
    <w:p>
      <w:pPr>
        <w:pStyle w:val="Plain"/>
        <w:bidi w:val="0"/>
        <w:spacing w:lineRule="exact" w:line="365"/>
        <w:jc w:val="start"/>
        <w:rPr/>
      </w:pPr>
      <w:r>
        <w:rPr/>
        <w:t>Geometry is detailed but service access, component mapping and legal transitions are incomplete in the reviewed snapshot. Complete original-rule software references are available for the configured abnormal conditions; equivalent coverage under the amended rules remains to be demonstrated. Service thresholds and orientation information must be resolved rather than invented.</w:t>
      </w:r>
    </w:p>
    <w:p>
      <w:pPr>
        <w:pStyle w:val="Plain"/>
        <w:bidi w:val="0"/>
        <w:spacing w:lineRule="exact" w:line="365"/>
        <w:jc w:val="start"/>
        <w:rPr/>
      </w:pPr>
      <w:r>
        <w:rPr/>
        <w:t>Mechanical models use generic material properties and finite comparisons. They support selected state estimates but are not selected-part durability validation. No operating-engine endpoint contributes to scoring.</w:t>
      </w:r>
    </w:p>
    <w:p>
      <w:pPr>
        <w:pStyle w:val="Plain"/>
        <w:bidi w:val="0"/>
        <w:spacing w:lineRule="exact" w:line="365"/>
        <w:jc w:val="start"/>
        <w:rPr/>
      </w:pPr>
      <w:r>
        <w:rPr/>
        <w:t>Technician charges are a domain cost estimate rather than measured workshop performance. The historical action table lacks the required professional time sources and correction schedule; later scripted diagnostic charges remain analyst estimates. API-equivalent cost may be unavailable for a returned model; that limitation must not be concealed by a subscription-price proxy.</w:t>
      </w:r>
    </w:p>
    <w:p>
      <w:pPr>
        <w:pStyle w:val="Plain"/>
        <w:bidi w:val="0"/>
        <w:spacing w:lineRule="exact" w:line="365"/>
        <w:jc w:val="start"/>
        <w:rPr/>
      </w:pPr>
      <w:r>
        <w:rPr/>
        <w:t>A small set of related variants cannot establish broad repair competence or occupational automation. Repeated runs, within-repair bolt observations and shared task structure create dependence. The final analysis must state its population and sampling limits; exploratory checks must not be presented as a confirmatory study [7] [8].</w:t>
      </w:r>
    </w:p>
    <w:p>
      <w:pPr>
        <w:sectPr>
          <w:type w:val="nextPage"/>
          <w:pgSz w:w="12240" w:h="15840"/>
          <w:pgMar w:left="1440" w:right="1440" w:gutter="0" w:header="0" w:top="1440" w:footer="0" w:bottom="1440"/>
          <w:pgNumType w:fmt="decimal"/>
          <w:formProt w:val="false"/>
          <w:textDirection w:val="lrTb"/>
          <w:docGrid w:type="default" w:linePitch="600" w:charSpace="32768"/>
        </w:sectPr>
        <w:pStyle w:val="Plain"/>
        <w:bidi w:val="0"/>
        <w:spacing w:lineRule="exact" w:line="365"/>
        <w:jc w:val="start"/>
        <w:rPr/>
      </w:pPr>
      <w:r>
        <w:rPr/>
        <w:t>Data and code availability: the report is accompanied by a source index, numerical claim table, evaluation specification, protocol amendment mapping and configuration records. Source identifiers and complete content hashes are kept in these companions so that each substantive claim can be inspected without turning the paper into a process log.</w:t>
      </w:r>
    </w:p>
    <w:p>
      <w:pPr>
        <w:pStyle w:val="LandscapeFigureHeading"/>
        <w:bidi w:val="0"/>
        <w:jc w:val="start"/>
        <w:rPr/>
      </w:pPr>
      <w:r>
        <w:rPr/>
        <w:t>Appendix H. Data and artifacts</w:t>
      </w:r>
    </w:p>
    <w:p>
      <w:pPr>
        <w:pStyle w:val="TableCaption"/>
        <w:keepNext w:val="true"/>
        <w:bidi w:val="0"/>
        <w:jc w:val="start"/>
        <w:rPr/>
      </w:pPr>
      <w:r>
        <w:rPr/>
        <w:t>Table 38. Appendix H. Data and artifacts</w:t>
      </w:r>
    </w:p>
    <w:tbl>
      <w:tblPr>
        <w:tblW w:w="12960" w:type="dxa"/>
        <w:jc w:val="start"/>
        <w:tblInd w:w="0" w:type="dxa"/>
        <w:tblLayout w:type="fixed"/>
        <w:tblCellMar>
          <w:top w:w="58" w:type="dxa"/>
          <w:start w:w="58" w:type="dxa"/>
          <w:bottom w:w="58" w:type="dxa"/>
          <w:end w:w="58" w:type="dxa"/>
        </w:tblCellMar>
      </w:tblPr>
      <w:tblGrid>
        <w:gridCol w:w="2880"/>
        <w:gridCol w:w="4320"/>
        <w:gridCol w:w="5760"/>
      </w:tblGrid>
      <w:tr>
        <w:trPr/>
        <w:tc>
          <w:tcPr>
            <w:tcW w:w="2880" w:type="dxa"/>
            <w:tcBorders>
              <w:bottom w:val="single" w:sz="2" w:space="0" w:color="CCCCCC"/>
            </w:tcBorders>
          </w:tcPr>
          <w:p>
            <w:pPr>
              <w:pStyle w:val="Plain"/>
              <w:bidi w:val="0"/>
              <w:spacing w:lineRule="exact" w:line="365"/>
              <w:jc w:val="start"/>
              <w:rPr/>
            </w:pPr>
            <w:r>
              <w:rPr>
                <w:rStyle w:val="Tb"/>
              </w:rPr>
              <w:t>Table or figure</w:t>
            </w:r>
          </w:p>
        </w:tc>
        <w:tc>
          <w:tcPr>
            <w:tcW w:w="4320" w:type="dxa"/>
            <w:tcBorders>
              <w:bottom w:val="single" w:sz="2" w:space="0" w:color="CCCCCC"/>
            </w:tcBorders>
          </w:tcPr>
          <w:p>
            <w:pPr>
              <w:pStyle w:val="Plain"/>
              <w:bidi w:val="0"/>
              <w:spacing w:lineRule="exact" w:line="365"/>
              <w:jc w:val="start"/>
              <w:rPr/>
            </w:pPr>
            <w:r>
              <w:rPr>
                <w:rStyle w:val="Tb"/>
              </w:rPr>
              <w:t>Record</w:t>
            </w:r>
          </w:p>
        </w:tc>
        <w:tc>
          <w:tcPr>
            <w:tcW w:w="5760" w:type="dxa"/>
            <w:tcBorders>
              <w:bottom w:val="single" w:sz="2" w:space="0" w:color="CCCCCC"/>
            </w:tcBorders>
          </w:tcPr>
          <w:p>
            <w:pPr>
              <w:pStyle w:val="Plain"/>
              <w:bidi w:val="0"/>
              <w:spacing w:lineRule="exact" w:line="365"/>
              <w:jc w:val="start"/>
              <w:rPr/>
            </w:pPr>
            <w:r>
              <w:rPr>
                <w:rStyle w:val="Tb"/>
              </w:rPr>
              <w:t>File</w:t>
            </w:r>
          </w:p>
        </w:tc>
      </w:tr>
      <w:tr>
        <w:trPr/>
        <w:tc>
          <w:tcPr>
            <w:tcW w:w="2880" w:type="dxa"/>
            <w:tcBorders>
              <w:bottom w:val="single" w:sz="2" w:space="0" w:color="CCCCCC"/>
            </w:tcBorders>
          </w:tcPr>
          <w:p>
            <w:pPr>
              <w:pStyle w:val="Plain"/>
              <w:bidi w:val="0"/>
              <w:spacing w:lineRule="exact" w:line="365"/>
              <w:jc w:val="start"/>
              <w:rPr/>
            </w:pPr>
            <w:r>
              <w:rPr/>
              <w:t>Figure 1</w:t>
            </w:r>
          </w:p>
        </w:tc>
        <w:tc>
          <w:tcPr>
            <w:tcW w:w="4320" w:type="dxa"/>
            <w:tcBorders>
              <w:bottom w:val="single" w:sz="2" w:space="0" w:color="CCCCCC"/>
            </w:tcBorders>
          </w:tcPr>
          <w:p>
            <w:pPr>
              <w:pStyle w:val="Plain"/>
              <w:bidi w:val="0"/>
              <w:spacing w:lineRule="exact" w:line="365"/>
              <w:jc w:val="start"/>
              <w:rPr/>
            </w:pPr>
            <w:r>
              <w:rPr/>
              <w:t>Original illustration</w:t>
            </w:r>
          </w:p>
        </w:tc>
        <w:tc>
          <w:tcPr>
            <w:tcW w:w="5760" w:type="dxa"/>
            <w:tcBorders>
              <w:bottom w:val="single" w:sz="2" w:space="0" w:color="CCCCCC"/>
            </w:tcBorders>
          </w:tcPr>
          <w:p>
            <w:pPr>
              <w:pStyle w:val="Plain"/>
              <w:bidi w:val="0"/>
              <w:spacing w:lineRule="exact" w:line="365"/>
              <w:jc w:val="start"/>
              <w:rPr/>
            </w:pPr>
            <w:r>
              <w:rPr/>
              <w:t>data/received/workflow-diagram.png</w:t>
            </w:r>
          </w:p>
        </w:tc>
      </w:tr>
      <w:tr>
        <w:trPr/>
        <w:tc>
          <w:tcPr>
            <w:tcW w:w="2880" w:type="dxa"/>
            <w:tcBorders>
              <w:bottom w:val="single" w:sz="2" w:space="0" w:color="CCCCCC"/>
            </w:tcBorders>
          </w:tcPr>
          <w:p>
            <w:pPr>
              <w:pStyle w:val="Plain"/>
              <w:bidi w:val="0"/>
              <w:spacing w:lineRule="exact" w:line="365"/>
              <w:jc w:val="start"/>
              <w:rPr/>
            </w:pPr>
            <w:r>
              <w:rPr/>
              <w:t>Table 1</w:t>
            </w:r>
          </w:p>
        </w:tc>
        <w:tc>
          <w:tcPr>
            <w:tcW w:w="4320" w:type="dxa"/>
            <w:tcBorders>
              <w:bottom w:val="single" w:sz="2" w:space="0" w:color="CCCCCC"/>
            </w:tcBorders>
          </w:tcPr>
          <w:p>
            <w:pPr>
              <w:pStyle w:val="Plain"/>
              <w:bidi w:val="0"/>
              <w:spacing w:lineRule="exact" w:line="365"/>
              <w:jc w:val="start"/>
              <w:rPr/>
            </w:pPr>
            <w:r>
              <w:rPr/>
              <w:t>Complete source and quantity ledger</w:t>
            </w:r>
          </w:p>
        </w:tc>
        <w:tc>
          <w:tcPr>
            <w:tcW w:w="5760" w:type="dxa"/>
            <w:tcBorders>
              <w:bottom w:val="single" w:sz="2" w:space="0" w:color="CCCCCC"/>
            </w:tcBorders>
          </w:tcPr>
          <w:p>
            <w:pPr>
              <w:pStyle w:val="Plain"/>
              <w:bidi w:val="0"/>
              <w:spacing w:lineRule="exact" w:line="365"/>
              <w:jc w:val="start"/>
              <w:rPr/>
            </w:pPr>
            <w:r>
              <w:rPr/>
              <w:t>manuscript/claim-to-data.csv</w:t>
            </w:r>
          </w:p>
        </w:tc>
      </w:tr>
      <w:tr>
        <w:trPr/>
        <w:tc>
          <w:tcPr>
            <w:tcW w:w="2880" w:type="dxa"/>
            <w:tcBorders>
              <w:bottom w:val="single" w:sz="2" w:space="0" w:color="CCCCCC"/>
            </w:tcBorders>
          </w:tcPr>
          <w:p>
            <w:pPr>
              <w:pStyle w:val="Plain"/>
              <w:bidi w:val="0"/>
              <w:spacing w:lineRule="exact" w:line="365"/>
              <w:jc w:val="start"/>
              <w:rPr/>
            </w:pPr>
            <w:r>
              <w:rPr/>
              <w:t>Table 2</w:t>
            </w:r>
          </w:p>
        </w:tc>
        <w:tc>
          <w:tcPr>
            <w:tcW w:w="4320" w:type="dxa"/>
            <w:tcBorders>
              <w:bottom w:val="single" w:sz="2" w:space="0" w:color="CCCCCC"/>
            </w:tcBorders>
          </w:tcPr>
          <w:p>
            <w:pPr>
              <w:pStyle w:val="Plain"/>
              <w:bidi w:val="0"/>
              <w:spacing w:lineRule="exact" w:line="365"/>
              <w:jc w:val="start"/>
              <w:rPr/>
            </w:pPr>
            <w:r>
              <w:rPr/>
              <w:t>Complete source and quantity ledger</w:t>
            </w:r>
          </w:p>
        </w:tc>
        <w:tc>
          <w:tcPr>
            <w:tcW w:w="5760" w:type="dxa"/>
            <w:tcBorders>
              <w:bottom w:val="single" w:sz="2" w:space="0" w:color="CCCCCC"/>
            </w:tcBorders>
          </w:tcPr>
          <w:p>
            <w:pPr>
              <w:pStyle w:val="Plain"/>
              <w:bidi w:val="0"/>
              <w:spacing w:lineRule="exact" w:line="365"/>
              <w:jc w:val="start"/>
              <w:rPr/>
            </w:pPr>
            <w:r>
              <w:rPr/>
              <w:t>manuscript/claim-to-data.csv</w:t>
            </w:r>
          </w:p>
        </w:tc>
      </w:tr>
      <w:tr>
        <w:trPr/>
        <w:tc>
          <w:tcPr>
            <w:tcW w:w="2880" w:type="dxa"/>
            <w:tcBorders>
              <w:bottom w:val="single" w:sz="2" w:space="0" w:color="CCCCCC"/>
            </w:tcBorders>
          </w:tcPr>
          <w:p>
            <w:pPr>
              <w:pStyle w:val="Plain"/>
              <w:bidi w:val="0"/>
              <w:spacing w:lineRule="exact" w:line="365"/>
              <w:jc w:val="start"/>
              <w:rPr/>
            </w:pPr>
            <w:r>
              <w:rPr/>
              <w:t>Table 3</w:t>
            </w:r>
          </w:p>
        </w:tc>
        <w:tc>
          <w:tcPr>
            <w:tcW w:w="4320" w:type="dxa"/>
            <w:tcBorders>
              <w:bottom w:val="single" w:sz="2" w:space="0" w:color="CCCCCC"/>
            </w:tcBorders>
          </w:tcPr>
          <w:p>
            <w:pPr>
              <w:pStyle w:val="Plain"/>
              <w:bidi w:val="0"/>
              <w:spacing w:lineRule="exact" w:line="365"/>
              <w:jc w:val="start"/>
              <w:rPr/>
            </w:pPr>
            <w:r>
              <w:rPr/>
              <w:t>Complete source and quantity ledger</w:t>
            </w:r>
          </w:p>
        </w:tc>
        <w:tc>
          <w:tcPr>
            <w:tcW w:w="5760" w:type="dxa"/>
            <w:tcBorders>
              <w:bottom w:val="single" w:sz="2" w:space="0" w:color="CCCCCC"/>
            </w:tcBorders>
          </w:tcPr>
          <w:p>
            <w:pPr>
              <w:pStyle w:val="Plain"/>
              <w:bidi w:val="0"/>
              <w:spacing w:lineRule="exact" w:line="365"/>
              <w:jc w:val="start"/>
              <w:rPr/>
            </w:pPr>
            <w:r>
              <w:rPr/>
              <w:t>manuscript/claim-to-data.csv</w:t>
            </w:r>
          </w:p>
        </w:tc>
      </w:tr>
      <w:tr>
        <w:trPr/>
        <w:tc>
          <w:tcPr>
            <w:tcW w:w="2880" w:type="dxa"/>
            <w:tcBorders>
              <w:bottom w:val="single" w:sz="2" w:space="0" w:color="CCCCCC"/>
            </w:tcBorders>
          </w:tcPr>
          <w:p>
            <w:pPr>
              <w:pStyle w:val="Plain"/>
              <w:bidi w:val="0"/>
              <w:spacing w:lineRule="exact" w:line="365"/>
              <w:jc w:val="start"/>
              <w:rPr/>
            </w:pPr>
            <w:r>
              <w:rPr/>
              <w:t>Table 4</w:t>
            </w:r>
          </w:p>
        </w:tc>
        <w:tc>
          <w:tcPr>
            <w:tcW w:w="4320" w:type="dxa"/>
            <w:tcBorders>
              <w:bottom w:val="single" w:sz="2" w:space="0" w:color="CCCCCC"/>
            </w:tcBorders>
          </w:tcPr>
          <w:p>
            <w:pPr>
              <w:pStyle w:val="Plain"/>
              <w:bidi w:val="0"/>
              <w:spacing w:lineRule="exact" w:line="365"/>
              <w:jc w:val="start"/>
              <w:rPr/>
            </w:pPr>
            <w:r>
              <w:rPr/>
              <w:t>Complete source and quantity ledger</w:t>
            </w:r>
          </w:p>
        </w:tc>
        <w:tc>
          <w:tcPr>
            <w:tcW w:w="5760" w:type="dxa"/>
            <w:tcBorders>
              <w:bottom w:val="single" w:sz="2" w:space="0" w:color="CCCCCC"/>
            </w:tcBorders>
          </w:tcPr>
          <w:p>
            <w:pPr>
              <w:pStyle w:val="Plain"/>
              <w:bidi w:val="0"/>
              <w:spacing w:lineRule="exact" w:line="365"/>
              <w:jc w:val="start"/>
              <w:rPr/>
            </w:pPr>
            <w:r>
              <w:rPr/>
              <w:t>manuscript/claim-to-data.csv</w:t>
            </w:r>
          </w:p>
        </w:tc>
      </w:tr>
      <w:tr>
        <w:trPr/>
        <w:tc>
          <w:tcPr>
            <w:tcW w:w="2880" w:type="dxa"/>
            <w:tcBorders>
              <w:bottom w:val="single" w:sz="2" w:space="0" w:color="CCCCCC"/>
            </w:tcBorders>
          </w:tcPr>
          <w:p>
            <w:pPr>
              <w:pStyle w:val="Plain"/>
              <w:bidi w:val="0"/>
              <w:spacing w:lineRule="exact" w:line="365"/>
              <w:jc w:val="start"/>
              <w:rPr/>
            </w:pPr>
            <w:r>
              <w:rPr/>
              <w:t>Figure 2</w:t>
            </w:r>
          </w:p>
        </w:tc>
        <w:tc>
          <w:tcPr>
            <w:tcW w:w="4320" w:type="dxa"/>
            <w:tcBorders>
              <w:bottom w:val="single" w:sz="2" w:space="0" w:color="CCCCCC"/>
            </w:tcBorders>
          </w:tcPr>
          <w:p>
            <w:pPr>
              <w:pStyle w:val="Plain"/>
              <w:bidi w:val="0"/>
              <w:spacing w:lineRule="exact" w:line="365"/>
              <w:jc w:val="start"/>
              <w:rPr/>
            </w:pPr>
            <w:r>
              <w:rPr/>
              <w:t>Original illustration</w:t>
            </w:r>
          </w:p>
        </w:tc>
        <w:tc>
          <w:tcPr>
            <w:tcW w:w="5760" w:type="dxa"/>
            <w:tcBorders>
              <w:bottom w:val="single" w:sz="2" w:space="0" w:color="CCCCCC"/>
            </w:tcBorders>
          </w:tcPr>
          <w:p>
            <w:pPr>
              <w:pStyle w:val="Plain"/>
              <w:bidi w:val="0"/>
              <w:spacing w:lineRule="exact" w:line="365"/>
              <w:jc w:val="start"/>
              <w:rPr/>
            </w:pPr>
            <w:r>
              <w:rPr/>
              <w:t>data/received/oil-render.png</w:t>
            </w:r>
          </w:p>
        </w:tc>
      </w:tr>
      <w:tr>
        <w:trPr/>
        <w:tc>
          <w:tcPr>
            <w:tcW w:w="2880" w:type="dxa"/>
            <w:tcBorders>
              <w:bottom w:val="single" w:sz="2" w:space="0" w:color="CCCCCC"/>
            </w:tcBorders>
          </w:tcPr>
          <w:p>
            <w:pPr>
              <w:pStyle w:val="Plain"/>
              <w:bidi w:val="0"/>
              <w:spacing w:lineRule="exact" w:line="365"/>
              <w:jc w:val="start"/>
              <w:rPr/>
            </w:pPr>
            <w:r>
              <w:rPr/>
              <w:t>Figure 3</w:t>
            </w:r>
          </w:p>
        </w:tc>
        <w:tc>
          <w:tcPr>
            <w:tcW w:w="4320" w:type="dxa"/>
            <w:tcBorders>
              <w:bottom w:val="single" w:sz="2" w:space="0" w:color="CCCCCC"/>
            </w:tcBorders>
          </w:tcPr>
          <w:p>
            <w:pPr>
              <w:pStyle w:val="Plain"/>
              <w:bidi w:val="0"/>
              <w:spacing w:lineRule="exact" w:line="365"/>
              <w:jc w:val="start"/>
              <w:rPr/>
            </w:pPr>
            <w:r>
              <w:rPr/>
              <w:t>Original illustration</w:t>
            </w:r>
          </w:p>
        </w:tc>
        <w:tc>
          <w:tcPr>
            <w:tcW w:w="5760" w:type="dxa"/>
            <w:tcBorders>
              <w:bottom w:val="single" w:sz="2" w:space="0" w:color="CCCCCC"/>
            </w:tcBorders>
          </w:tcPr>
          <w:p>
            <w:pPr>
              <w:pStyle w:val="Plain"/>
              <w:bidi w:val="0"/>
              <w:spacing w:lineRule="exact" w:line="365"/>
              <w:jc w:val="start"/>
              <w:rPr/>
            </w:pPr>
            <w:r>
              <w:rPr/>
              <w:t>data/received/cad-iso.png</w:t>
            </w:r>
          </w:p>
        </w:tc>
      </w:tr>
      <w:tr>
        <w:trPr/>
        <w:tc>
          <w:tcPr>
            <w:tcW w:w="2880" w:type="dxa"/>
            <w:tcBorders>
              <w:bottom w:val="single" w:sz="2" w:space="0" w:color="CCCCCC"/>
            </w:tcBorders>
          </w:tcPr>
          <w:p>
            <w:pPr>
              <w:pStyle w:val="Plain"/>
              <w:bidi w:val="0"/>
              <w:spacing w:lineRule="exact" w:line="365"/>
              <w:jc w:val="start"/>
              <w:rPr/>
            </w:pPr>
            <w:r>
              <w:rPr/>
              <w:t>Figure 4</w:t>
            </w:r>
          </w:p>
        </w:tc>
        <w:tc>
          <w:tcPr>
            <w:tcW w:w="4320" w:type="dxa"/>
            <w:tcBorders>
              <w:bottom w:val="single" w:sz="2" w:space="0" w:color="CCCCCC"/>
            </w:tcBorders>
          </w:tcPr>
          <w:p>
            <w:pPr>
              <w:pStyle w:val="Plain"/>
              <w:bidi w:val="0"/>
              <w:spacing w:lineRule="exact" w:line="365"/>
              <w:jc w:val="start"/>
              <w:rPr/>
            </w:pPr>
            <w:r>
              <w:rPr/>
              <w:t>Original illustration</w:t>
            </w:r>
          </w:p>
        </w:tc>
        <w:tc>
          <w:tcPr>
            <w:tcW w:w="5760" w:type="dxa"/>
            <w:tcBorders>
              <w:bottom w:val="single" w:sz="2" w:space="0" w:color="CCCCCC"/>
            </w:tcBorders>
          </w:tcPr>
          <w:p>
            <w:pPr>
              <w:pStyle w:val="Plain"/>
              <w:bidi w:val="0"/>
              <w:spacing w:lineRule="exact" w:line="365"/>
              <w:jc w:val="start"/>
              <w:rPr/>
            </w:pPr>
            <w:r>
              <w:rPr/>
              <w:t>data/received/joint-laws-figure.png</w:t>
            </w:r>
          </w:p>
        </w:tc>
      </w:tr>
    </w:tbl>
    <w:p>
      <w:pPr>
        <w:pStyle w:val="LandscapeFigureHeading"/>
        <w:bidi w:val="0"/>
        <w:jc w:val="start"/>
        <w:rPr/>
      </w:pPr>
      <w:r>
        <w:rPr/>
        <w:t>Appendix H. Data and artifacts continued</w:t>
      </w:r>
    </w:p>
    <w:p>
      <w:pPr>
        <w:pStyle w:val="TableCaption"/>
        <w:keepNext w:val="true"/>
        <w:bidi w:val="0"/>
        <w:jc w:val="start"/>
        <w:rPr/>
      </w:pPr>
      <w:r>
        <w:rPr/>
        <w:t>Table 39. Appendix H. Data and artifacts continued</w:t>
      </w:r>
    </w:p>
    <w:tbl>
      <w:tblPr>
        <w:tblW w:w="12960" w:type="dxa"/>
        <w:jc w:val="start"/>
        <w:tblInd w:w="0" w:type="dxa"/>
        <w:tblLayout w:type="fixed"/>
        <w:tblCellMar>
          <w:top w:w="58" w:type="dxa"/>
          <w:start w:w="58" w:type="dxa"/>
          <w:bottom w:w="58" w:type="dxa"/>
          <w:end w:w="58" w:type="dxa"/>
        </w:tblCellMar>
      </w:tblPr>
      <w:tblGrid>
        <w:gridCol w:w="2880"/>
        <w:gridCol w:w="4320"/>
        <w:gridCol w:w="5760"/>
      </w:tblGrid>
      <w:tr>
        <w:trPr/>
        <w:tc>
          <w:tcPr>
            <w:tcW w:w="2880" w:type="dxa"/>
            <w:tcBorders>
              <w:bottom w:val="single" w:sz="2" w:space="0" w:color="CCCCCC"/>
            </w:tcBorders>
          </w:tcPr>
          <w:p>
            <w:pPr>
              <w:pStyle w:val="Plain"/>
              <w:bidi w:val="0"/>
              <w:spacing w:lineRule="exact" w:line="365"/>
              <w:jc w:val="start"/>
              <w:rPr/>
            </w:pPr>
            <w:r>
              <w:rPr>
                <w:rStyle w:val="Tb"/>
              </w:rPr>
              <w:t>Table or figure</w:t>
            </w:r>
          </w:p>
        </w:tc>
        <w:tc>
          <w:tcPr>
            <w:tcW w:w="4320" w:type="dxa"/>
            <w:tcBorders>
              <w:bottom w:val="single" w:sz="2" w:space="0" w:color="CCCCCC"/>
            </w:tcBorders>
          </w:tcPr>
          <w:p>
            <w:pPr>
              <w:pStyle w:val="Plain"/>
              <w:bidi w:val="0"/>
              <w:spacing w:lineRule="exact" w:line="365"/>
              <w:jc w:val="start"/>
              <w:rPr/>
            </w:pPr>
            <w:r>
              <w:rPr>
                <w:rStyle w:val="Tb"/>
              </w:rPr>
              <w:t>Record</w:t>
            </w:r>
          </w:p>
        </w:tc>
        <w:tc>
          <w:tcPr>
            <w:tcW w:w="5760" w:type="dxa"/>
            <w:tcBorders>
              <w:bottom w:val="single" w:sz="2" w:space="0" w:color="CCCCCC"/>
            </w:tcBorders>
          </w:tcPr>
          <w:p>
            <w:pPr>
              <w:pStyle w:val="Plain"/>
              <w:bidi w:val="0"/>
              <w:spacing w:lineRule="exact" w:line="365"/>
              <w:jc w:val="start"/>
              <w:rPr/>
            </w:pPr>
            <w:r>
              <w:rPr>
                <w:rStyle w:val="Tb"/>
              </w:rPr>
              <w:t>File</w:t>
            </w:r>
          </w:p>
        </w:tc>
      </w:tr>
      <w:tr>
        <w:trPr/>
        <w:tc>
          <w:tcPr>
            <w:tcW w:w="2880" w:type="dxa"/>
            <w:tcBorders>
              <w:bottom w:val="single" w:sz="2" w:space="0" w:color="CCCCCC"/>
            </w:tcBorders>
          </w:tcPr>
          <w:p>
            <w:pPr>
              <w:pStyle w:val="Plain"/>
              <w:bidi w:val="0"/>
              <w:spacing w:lineRule="exact" w:line="365"/>
              <w:jc w:val="start"/>
              <w:rPr/>
            </w:pPr>
            <w:r>
              <w:rPr/>
              <w:t>Table 5</w:t>
            </w:r>
          </w:p>
        </w:tc>
        <w:tc>
          <w:tcPr>
            <w:tcW w:w="4320" w:type="dxa"/>
            <w:tcBorders>
              <w:bottom w:val="single" w:sz="2" w:space="0" w:color="CCCCCC"/>
            </w:tcBorders>
          </w:tcPr>
          <w:p>
            <w:pPr>
              <w:pStyle w:val="Plain"/>
              <w:bidi w:val="0"/>
              <w:spacing w:lineRule="exact" w:line="365"/>
              <w:jc w:val="start"/>
              <w:rPr/>
            </w:pPr>
            <w:r>
              <w:rPr/>
              <w:t>Complete source and quantity ledger</w:t>
            </w:r>
          </w:p>
        </w:tc>
        <w:tc>
          <w:tcPr>
            <w:tcW w:w="5760" w:type="dxa"/>
            <w:tcBorders>
              <w:bottom w:val="single" w:sz="2" w:space="0" w:color="CCCCCC"/>
            </w:tcBorders>
          </w:tcPr>
          <w:p>
            <w:pPr>
              <w:pStyle w:val="Plain"/>
              <w:bidi w:val="0"/>
              <w:spacing w:lineRule="exact" w:line="365"/>
              <w:jc w:val="start"/>
              <w:rPr/>
            </w:pPr>
            <w:r>
              <w:rPr/>
              <w:t>manuscript/claim-to-data.csv</w:t>
            </w:r>
          </w:p>
        </w:tc>
      </w:tr>
      <w:tr>
        <w:trPr/>
        <w:tc>
          <w:tcPr>
            <w:tcW w:w="2880" w:type="dxa"/>
            <w:tcBorders>
              <w:bottom w:val="single" w:sz="2" w:space="0" w:color="CCCCCC"/>
            </w:tcBorders>
          </w:tcPr>
          <w:p>
            <w:pPr>
              <w:pStyle w:val="Plain"/>
              <w:bidi w:val="0"/>
              <w:spacing w:lineRule="exact" w:line="365"/>
              <w:jc w:val="start"/>
              <w:rPr/>
            </w:pPr>
            <w:r>
              <w:rPr/>
              <w:t>Table 6</w:t>
            </w:r>
          </w:p>
        </w:tc>
        <w:tc>
          <w:tcPr>
            <w:tcW w:w="4320" w:type="dxa"/>
            <w:tcBorders>
              <w:bottom w:val="single" w:sz="2" w:space="0" w:color="CCCCCC"/>
            </w:tcBorders>
          </w:tcPr>
          <w:p>
            <w:pPr>
              <w:pStyle w:val="Plain"/>
              <w:bidi w:val="0"/>
              <w:spacing w:lineRule="exact" w:line="365"/>
              <w:jc w:val="start"/>
              <w:rPr/>
            </w:pPr>
            <w:r>
              <w:rPr/>
              <w:t>Complete source and quantity ledger</w:t>
            </w:r>
          </w:p>
        </w:tc>
        <w:tc>
          <w:tcPr>
            <w:tcW w:w="5760" w:type="dxa"/>
            <w:tcBorders>
              <w:bottom w:val="single" w:sz="2" w:space="0" w:color="CCCCCC"/>
            </w:tcBorders>
          </w:tcPr>
          <w:p>
            <w:pPr>
              <w:pStyle w:val="Plain"/>
              <w:bidi w:val="0"/>
              <w:spacing w:lineRule="exact" w:line="365"/>
              <w:jc w:val="start"/>
              <w:rPr/>
            </w:pPr>
            <w:r>
              <w:rPr/>
              <w:t>manuscript/claim-to-data.csv</w:t>
            </w:r>
          </w:p>
        </w:tc>
      </w:tr>
      <w:tr>
        <w:trPr/>
        <w:tc>
          <w:tcPr>
            <w:tcW w:w="2880" w:type="dxa"/>
            <w:tcBorders>
              <w:bottom w:val="single" w:sz="2" w:space="0" w:color="CCCCCC"/>
            </w:tcBorders>
          </w:tcPr>
          <w:p>
            <w:pPr>
              <w:pStyle w:val="Plain"/>
              <w:bidi w:val="0"/>
              <w:spacing w:lineRule="exact" w:line="365"/>
              <w:jc w:val="start"/>
              <w:rPr/>
            </w:pPr>
            <w:r>
              <w:rPr/>
              <w:t>Table 7</w:t>
            </w:r>
          </w:p>
        </w:tc>
        <w:tc>
          <w:tcPr>
            <w:tcW w:w="4320" w:type="dxa"/>
            <w:tcBorders>
              <w:bottom w:val="single" w:sz="2" w:space="0" w:color="CCCCCC"/>
            </w:tcBorders>
          </w:tcPr>
          <w:p>
            <w:pPr>
              <w:pStyle w:val="Plain"/>
              <w:bidi w:val="0"/>
              <w:spacing w:lineRule="exact" w:line="365"/>
              <w:jc w:val="start"/>
              <w:rPr/>
            </w:pPr>
            <w:r>
              <w:rPr/>
              <w:t>Complete source and quantity ledger</w:t>
            </w:r>
          </w:p>
        </w:tc>
        <w:tc>
          <w:tcPr>
            <w:tcW w:w="5760" w:type="dxa"/>
            <w:tcBorders>
              <w:bottom w:val="single" w:sz="2" w:space="0" w:color="CCCCCC"/>
            </w:tcBorders>
          </w:tcPr>
          <w:p>
            <w:pPr>
              <w:pStyle w:val="Plain"/>
              <w:bidi w:val="0"/>
              <w:spacing w:lineRule="exact" w:line="365"/>
              <w:jc w:val="start"/>
              <w:rPr/>
            </w:pPr>
            <w:r>
              <w:rPr/>
              <w:t>manuscript/claim-to-data.csv</w:t>
            </w:r>
          </w:p>
        </w:tc>
      </w:tr>
      <w:tr>
        <w:trPr/>
        <w:tc>
          <w:tcPr>
            <w:tcW w:w="2880" w:type="dxa"/>
            <w:tcBorders>
              <w:bottom w:val="single" w:sz="2" w:space="0" w:color="CCCCCC"/>
            </w:tcBorders>
          </w:tcPr>
          <w:p>
            <w:pPr>
              <w:pStyle w:val="Plain"/>
              <w:bidi w:val="0"/>
              <w:spacing w:lineRule="exact" w:line="365"/>
              <w:jc w:val="start"/>
              <w:rPr/>
            </w:pPr>
            <w:r>
              <w:rPr/>
              <w:t>Table 8</w:t>
            </w:r>
          </w:p>
        </w:tc>
        <w:tc>
          <w:tcPr>
            <w:tcW w:w="4320" w:type="dxa"/>
            <w:tcBorders>
              <w:bottom w:val="single" w:sz="2" w:space="0" w:color="CCCCCC"/>
            </w:tcBorders>
          </w:tcPr>
          <w:p>
            <w:pPr>
              <w:pStyle w:val="Plain"/>
              <w:bidi w:val="0"/>
              <w:spacing w:lineRule="exact" w:line="365"/>
              <w:jc w:val="start"/>
              <w:rPr/>
            </w:pPr>
            <w:r>
              <w:rPr/>
              <w:t>Complete source and quantity ledger</w:t>
            </w:r>
          </w:p>
        </w:tc>
        <w:tc>
          <w:tcPr>
            <w:tcW w:w="5760" w:type="dxa"/>
            <w:tcBorders>
              <w:bottom w:val="single" w:sz="2" w:space="0" w:color="CCCCCC"/>
            </w:tcBorders>
          </w:tcPr>
          <w:p>
            <w:pPr>
              <w:pStyle w:val="Plain"/>
              <w:bidi w:val="0"/>
              <w:spacing w:lineRule="exact" w:line="365"/>
              <w:jc w:val="start"/>
              <w:rPr/>
            </w:pPr>
            <w:r>
              <w:rPr/>
              <w:t>manuscript/claim-to-data.csv</w:t>
            </w:r>
          </w:p>
        </w:tc>
      </w:tr>
      <w:tr>
        <w:trPr/>
        <w:tc>
          <w:tcPr>
            <w:tcW w:w="2880" w:type="dxa"/>
            <w:tcBorders>
              <w:bottom w:val="single" w:sz="2" w:space="0" w:color="CCCCCC"/>
            </w:tcBorders>
          </w:tcPr>
          <w:p>
            <w:pPr>
              <w:pStyle w:val="Plain"/>
              <w:bidi w:val="0"/>
              <w:spacing w:lineRule="exact" w:line="365"/>
              <w:jc w:val="start"/>
              <w:rPr/>
            </w:pPr>
            <w:r>
              <w:rPr/>
              <w:t>Table 9</w:t>
            </w:r>
          </w:p>
        </w:tc>
        <w:tc>
          <w:tcPr>
            <w:tcW w:w="4320" w:type="dxa"/>
            <w:tcBorders>
              <w:bottom w:val="single" w:sz="2" w:space="0" w:color="CCCCCC"/>
            </w:tcBorders>
          </w:tcPr>
          <w:p>
            <w:pPr>
              <w:pStyle w:val="Plain"/>
              <w:bidi w:val="0"/>
              <w:spacing w:lineRule="exact" w:line="365"/>
              <w:jc w:val="start"/>
              <w:rPr/>
            </w:pPr>
            <w:r>
              <w:rPr/>
              <w:t>Complete source and quantity ledger</w:t>
            </w:r>
          </w:p>
        </w:tc>
        <w:tc>
          <w:tcPr>
            <w:tcW w:w="5760" w:type="dxa"/>
            <w:tcBorders>
              <w:bottom w:val="single" w:sz="2" w:space="0" w:color="CCCCCC"/>
            </w:tcBorders>
          </w:tcPr>
          <w:p>
            <w:pPr>
              <w:pStyle w:val="Plain"/>
              <w:bidi w:val="0"/>
              <w:spacing w:lineRule="exact" w:line="365"/>
              <w:jc w:val="start"/>
              <w:rPr/>
            </w:pPr>
            <w:r>
              <w:rPr/>
              <w:t>manuscript/claim-to-data.csv</w:t>
            </w:r>
          </w:p>
        </w:tc>
      </w:tr>
      <w:tr>
        <w:trPr/>
        <w:tc>
          <w:tcPr>
            <w:tcW w:w="2880" w:type="dxa"/>
            <w:tcBorders>
              <w:bottom w:val="single" w:sz="2" w:space="0" w:color="CCCCCC"/>
            </w:tcBorders>
          </w:tcPr>
          <w:p>
            <w:pPr>
              <w:pStyle w:val="Plain"/>
              <w:bidi w:val="0"/>
              <w:spacing w:lineRule="exact" w:line="365"/>
              <w:jc w:val="start"/>
              <w:rPr/>
            </w:pPr>
            <w:r>
              <w:rPr/>
              <w:t>Table 10</w:t>
            </w:r>
          </w:p>
        </w:tc>
        <w:tc>
          <w:tcPr>
            <w:tcW w:w="4320" w:type="dxa"/>
            <w:tcBorders>
              <w:bottom w:val="single" w:sz="2" w:space="0" w:color="CCCCCC"/>
            </w:tcBorders>
          </w:tcPr>
          <w:p>
            <w:pPr>
              <w:pStyle w:val="Plain"/>
              <w:bidi w:val="0"/>
              <w:spacing w:lineRule="exact" w:line="365"/>
              <w:jc w:val="start"/>
              <w:rPr/>
            </w:pPr>
            <w:r>
              <w:rPr/>
              <w:t>Complete source and quantity ledger</w:t>
            </w:r>
          </w:p>
        </w:tc>
        <w:tc>
          <w:tcPr>
            <w:tcW w:w="5760" w:type="dxa"/>
            <w:tcBorders>
              <w:bottom w:val="single" w:sz="2" w:space="0" w:color="CCCCCC"/>
            </w:tcBorders>
          </w:tcPr>
          <w:p>
            <w:pPr>
              <w:pStyle w:val="Plain"/>
              <w:bidi w:val="0"/>
              <w:spacing w:lineRule="exact" w:line="365"/>
              <w:jc w:val="start"/>
              <w:rPr/>
            </w:pPr>
            <w:r>
              <w:rPr/>
              <w:t>manuscript/claim-to-data.csv</w:t>
            </w:r>
          </w:p>
        </w:tc>
      </w:tr>
      <w:tr>
        <w:trPr/>
        <w:tc>
          <w:tcPr>
            <w:tcW w:w="2880" w:type="dxa"/>
            <w:tcBorders>
              <w:bottom w:val="single" w:sz="2" w:space="0" w:color="CCCCCC"/>
            </w:tcBorders>
          </w:tcPr>
          <w:p>
            <w:pPr>
              <w:pStyle w:val="Plain"/>
              <w:bidi w:val="0"/>
              <w:spacing w:lineRule="exact" w:line="365"/>
              <w:jc w:val="start"/>
              <w:rPr/>
            </w:pPr>
            <w:r>
              <w:rPr/>
              <w:t>Table 11</w:t>
            </w:r>
          </w:p>
        </w:tc>
        <w:tc>
          <w:tcPr>
            <w:tcW w:w="4320" w:type="dxa"/>
            <w:tcBorders>
              <w:bottom w:val="single" w:sz="2" w:space="0" w:color="CCCCCC"/>
            </w:tcBorders>
          </w:tcPr>
          <w:p>
            <w:pPr>
              <w:pStyle w:val="Plain"/>
              <w:bidi w:val="0"/>
              <w:spacing w:lineRule="exact" w:line="365"/>
              <w:jc w:val="start"/>
              <w:rPr/>
            </w:pPr>
            <w:r>
              <w:rPr/>
              <w:t>Complete source and quantity ledger</w:t>
            </w:r>
          </w:p>
        </w:tc>
        <w:tc>
          <w:tcPr>
            <w:tcW w:w="5760" w:type="dxa"/>
            <w:tcBorders>
              <w:bottom w:val="single" w:sz="2" w:space="0" w:color="CCCCCC"/>
            </w:tcBorders>
          </w:tcPr>
          <w:p>
            <w:pPr>
              <w:pStyle w:val="Plain"/>
              <w:bidi w:val="0"/>
              <w:spacing w:lineRule="exact" w:line="365"/>
              <w:jc w:val="start"/>
              <w:rPr/>
            </w:pPr>
            <w:r>
              <w:rPr/>
              <w:t>manuscript/claim-to-data.csv</w:t>
            </w:r>
          </w:p>
        </w:tc>
      </w:tr>
      <w:tr>
        <w:trPr/>
        <w:tc>
          <w:tcPr>
            <w:tcW w:w="2880" w:type="dxa"/>
            <w:tcBorders>
              <w:bottom w:val="single" w:sz="2" w:space="0" w:color="CCCCCC"/>
            </w:tcBorders>
          </w:tcPr>
          <w:p>
            <w:pPr>
              <w:pStyle w:val="Plain"/>
              <w:bidi w:val="0"/>
              <w:spacing w:lineRule="exact" w:line="365"/>
              <w:jc w:val="start"/>
              <w:rPr/>
            </w:pPr>
            <w:r>
              <w:rPr/>
              <w:t>Table 12</w:t>
            </w:r>
          </w:p>
        </w:tc>
        <w:tc>
          <w:tcPr>
            <w:tcW w:w="4320" w:type="dxa"/>
            <w:tcBorders>
              <w:bottom w:val="single" w:sz="2" w:space="0" w:color="CCCCCC"/>
            </w:tcBorders>
          </w:tcPr>
          <w:p>
            <w:pPr>
              <w:pStyle w:val="Plain"/>
              <w:bidi w:val="0"/>
              <w:spacing w:lineRule="exact" w:line="365"/>
              <w:jc w:val="start"/>
              <w:rPr/>
            </w:pPr>
            <w:r>
              <w:rPr/>
              <w:t>Complete source and quantity ledger</w:t>
            </w:r>
          </w:p>
        </w:tc>
        <w:tc>
          <w:tcPr>
            <w:tcW w:w="5760" w:type="dxa"/>
            <w:tcBorders>
              <w:bottom w:val="single" w:sz="2" w:space="0" w:color="CCCCCC"/>
            </w:tcBorders>
          </w:tcPr>
          <w:p>
            <w:pPr>
              <w:pStyle w:val="Plain"/>
              <w:bidi w:val="0"/>
              <w:spacing w:lineRule="exact" w:line="365"/>
              <w:jc w:val="start"/>
              <w:rPr/>
            </w:pPr>
            <w:r>
              <w:rPr/>
              <w:t>manuscript/claim-to-data.csv</w:t>
            </w:r>
          </w:p>
        </w:tc>
      </w:tr>
    </w:tbl>
    <w:p>
      <w:pPr>
        <w:pStyle w:val="LandscapeFigureHeading"/>
        <w:bidi w:val="0"/>
        <w:jc w:val="start"/>
        <w:rPr/>
      </w:pPr>
      <w:r>
        <w:rPr/>
        <w:t>Appendix H. Data and artifacts continued</w:t>
      </w:r>
    </w:p>
    <w:p>
      <w:pPr>
        <w:pStyle w:val="TableCaption"/>
        <w:keepNext w:val="true"/>
        <w:bidi w:val="0"/>
        <w:jc w:val="start"/>
        <w:rPr/>
      </w:pPr>
      <w:r>
        <w:rPr/>
        <w:t>Table 40. Appendix H. Data and artifacts continued</w:t>
      </w:r>
    </w:p>
    <w:tbl>
      <w:tblPr>
        <w:tblW w:w="12960" w:type="dxa"/>
        <w:jc w:val="start"/>
        <w:tblInd w:w="0" w:type="dxa"/>
        <w:tblLayout w:type="fixed"/>
        <w:tblCellMar>
          <w:top w:w="58" w:type="dxa"/>
          <w:start w:w="58" w:type="dxa"/>
          <w:bottom w:w="58" w:type="dxa"/>
          <w:end w:w="58" w:type="dxa"/>
        </w:tblCellMar>
      </w:tblPr>
      <w:tblGrid>
        <w:gridCol w:w="2880"/>
        <w:gridCol w:w="4320"/>
        <w:gridCol w:w="5760"/>
      </w:tblGrid>
      <w:tr>
        <w:trPr/>
        <w:tc>
          <w:tcPr>
            <w:tcW w:w="2880" w:type="dxa"/>
            <w:tcBorders>
              <w:bottom w:val="single" w:sz="2" w:space="0" w:color="CCCCCC"/>
            </w:tcBorders>
          </w:tcPr>
          <w:p>
            <w:pPr>
              <w:pStyle w:val="Plain"/>
              <w:bidi w:val="0"/>
              <w:spacing w:lineRule="exact" w:line="365"/>
              <w:jc w:val="start"/>
              <w:rPr/>
            </w:pPr>
            <w:r>
              <w:rPr>
                <w:rStyle w:val="Tb"/>
              </w:rPr>
              <w:t>Table or figure</w:t>
            </w:r>
          </w:p>
        </w:tc>
        <w:tc>
          <w:tcPr>
            <w:tcW w:w="4320" w:type="dxa"/>
            <w:tcBorders>
              <w:bottom w:val="single" w:sz="2" w:space="0" w:color="CCCCCC"/>
            </w:tcBorders>
          </w:tcPr>
          <w:p>
            <w:pPr>
              <w:pStyle w:val="Plain"/>
              <w:bidi w:val="0"/>
              <w:spacing w:lineRule="exact" w:line="365"/>
              <w:jc w:val="start"/>
              <w:rPr/>
            </w:pPr>
            <w:r>
              <w:rPr>
                <w:rStyle w:val="Tb"/>
              </w:rPr>
              <w:t>Record</w:t>
            </w:r>
          </w:p>
        </w:tc>
        <w:tc>
          <w:tcPr>
            <w:tcW w:w="5760" w:type="dxa"/>
            <w:tcBorders>
              <w:bottom w:val="single" w:sz="2" w:space="0" w:color="CCCCCC"/>
            </w:tcBorders>
          </w:tcPr>
          <w:p>
            <w:pPr>
              <w:pStyle w:val="Plain"/>
              <w:bidi w:val="0"/>
              <w:spacing w:lineRule="exact" w:line="365"/>
              <w:jc w:val="start"/>
              <w:rPr/>
            </w:pPr>
            <w:r>
              <w:rPr>
                <w:rStyle w:val="Tb"/>
              </w:rPr>
              <w:t>File</w:t>
            </w:r>
          </w:p>
        </w:tc>
      </w:tr>
      <w:tr>
        <w:trPr/>
        <w:tc>
          <w:tcPr>
            <w:tcW w:w="2880" w:type="dxa"/>
            <w:tcBorders>
              <w:bottom w:val="single" w:sz="2" w:space="0" w:color="CCCCCC"/>
            </w:tcBorders>
          </w:tcPr>
          <w:p>
            <w:pPr>
              <w:pStyle w:val="Plain"/>
              <w:bidi w:val="0"/>
              <w:spacing w:lineRule="exact" w:line="365"/>
              <w:jc w:val="start"/>
              <w:rPr/>
            </w:pPr>
            <w:r>
              <w:rPr/>
              <w:t>Table 13</w:t>
            </w:r>
          </w:p>
        </w:tc>
        <w:tc>
          <w:tcPr>
            <w:tcW w:w="4320" w:type="dxa"/>
            <w:tcBorders>
              <w:bottom w:val="single" w:sz="2" w:space="0" w:color="CCCCCC"/>
            </w:tcBorders>
          </w:tcPr>
          <w:p>
            <w:pPr>
              <w:pStyle w:val="Plain"/>
              <w:bidi w:val="0"/>
              <w:spacing w:lineRule="exact" w:line="365"/>
              <w:jc w:val="start"/>
              <w:rPr/>
            </w:pPr>
            <w:r>
              <w:rPr/>
              <w:t>Complete source and quantity ledger</w:t>
            </w:r>
          </w:p>
        </w:tc>
        <w:tc>
          <w:tcPr>
            <w:tcW w:w="5760" w:type="dxa"/>
            <w:tcBorders>
              <w:bottom w:val="single" w:sz="2" w:space="0" w:color="CCCCCC"/>
            </w:tcBorders>
          </w:tcPr>
          <w:p>
            <w:pPr>
              <w:pStyle w:val="Plain"/>
              <w:bidi w:val="0"/>
              <w:spacing w:lineRule="exact" w:line="365"/>
              <w:jc w:val="start"/>
              <w:rPr/>
            </w:pPr>
            <w:r>
              <w:rPr/>
              <w:t>manuscript/claim-to-data.csv</w:t>
            </w:r>
          </w:p>
        </w:tc>
      </w:tr>
      <w:tr>
        <w:trPr/>
        <w:tc>
          <w:tcPr>
            <w:tcW w:w="2880" w:type="dxa"/>
            <w:tcBorders>
              <w:bottom w:val="single" w:sz="2" w:space="0" w:color="CCCCCC"/>
            </w:tcBorders>
          </w:tcPr>
          <w:p>
            <w:pPr>
              <w:pStyle w:val="Plain"/>
              <w:bidi w:val="0"/>
              <w:spacing w:lineRule="exact" w:line="365"/>
              <w:jc w:val="start"/>
              <w:rPr/>
            </w:pPr>
            <w:r>
              <w:rPr/>
              <w:t>Table 14</w:t>
            </w:r>
          </w:p>
        </w:tc>
        <w:tc>
          <w:tcPr>
            <w:tcW w:w="4320" w:type="dxa"/>
            <w:tcBorders>
              <w:bottom w:val="single" w:sz="2" w:space="0" w:color="CCCCCC"/>
            </w:tcBorders>
          </w:tcPr>
          <w:p>
            <w:pPr>
              <w:pStyle w:val="Plain"/>
              <w:bidi w:val="0"/>
              <w:spacing w:lineRule="exact" w:line="365"/>
              <w:jc w:val="start"/>
              <w:rPr/>
            </w:pPr>
            <w:r>
              <w:rPr/>
              <w:t>Complete source and quantity ledger</w:t>
            </w:r>
          </w:p>
        </w:tc>
        <w:tc>
          <w:tcPr>
            <w:tcW w:w="5760" w:type="dxa"/>
            <w:tcBorders>
              <w:bottom w:val="single" w:sz="2" w:space="0" w:color="CCCCCC"/>
            </w:tcBorders>
          </w:tcPr>
          <w:p>
            <w:pPr>
              <w:pStyle w:val="Plain"/>
              <w:bidi w:val="0"/>
              <w:spacing w:lineRule="exact" w:line="365"/>
              <w:jc w:val="start"/>
              <w:rPr/>
            </w:pPr>
            <w:r>
              <w:rPr/>
              <w:t>manuscript/claim-to-data.csv</w:t>
            </w:r>
          </w:p>
        </w:tc>
      </w:tr>
      <w:tr>
        <w:trPr/>
        <w:tc>
          <w:tcPr>
            <w:tcW w:w="2880" w:type="dxa"/>
            <w:tcBorders>
              <w:bottom w:val="single" w:sz="2" w:space="0" w:color="CCCCCC"/>
            </w:tcBorders>
          </w:tcPr>
          <w:p>
            <w:pPr>
              <w:pStyle w:val="Plain"/>
              <w:bidi w:val="0"/>
              <w:spacing w:lineRule="exact" w:line="365"/>
              <w:jc w:val="start"/>
              <w:rPr/>
            </w:pPr>
            <w:r>
              <w:rPr/>
              <w:t>Table 15</w:t>
            </w:r>
          </w:p>
        </w:tc>
        <w:tc>
          <w:tcPr>
            <w:tcW w:w="4320" w:type="dxa"/>
            <w:tcBorders>
              <w:bottom w:val="single" w:sz="2" w:space="0" w:color="CCCCCC"/>
            </w:tcBorders>
          </w:tcPr>
          <w:p>
            <w:pPr>
              <w:pStyle w:val="Plain"/>
              <w:bidi w:val="0"/>
              <w:spacing w:lineRule="exact" w:line="365"/>
              <w:jc w:val="start"/>
              <w:rPr/>
            </w:pPr>
            <w:r>
              <w:rPr/>
              <w:t>Complete source and quantity ledger</w:t>
            </w:r>
          </w:p>
        </w:tc>
        <w:tc>
          <w:tcPr>
            <w:tcW w:w="5760" w:type="dxa"/>
            <w:tcBorders>
              <w:bottom w:val="single" w:sz="2" w:space="0" w:color="CCCCCC"/>
            </w:tcBorders>
          </w:tcPr>
          <w:p>
            <w:pPr>
              <w:pStyle w:val="Plain"/>
              <w:bidi w:val="0"/>
              <w:spacing w:lineRule="exact" w:line="365"/>
              <w:jc w:val="start"/>
              <w:rPr/>
            </w:pPr>
            <w:r>
              <w:rPr/>
              <w:t>manuscript/claim-to-data.csv</w:t>
            </w:r>
          </w:p>
        </w:tc>
      </w:tr>
      <w:tr>
        <w:trPr/>
        <w:tc>
          <w:tcPr>
            <w:tcW w:w="2880" w:type="dxa"/>
            <w:tcBorders>
              <w:bottom w:val="single" w:sz="2" w:space="0" w:color="CCCCCC"/>
            </w:tcBorders>
          </w:tcPr>
          <w:p>
            <w:pPr>
              <w:pStyle w:val="Plain"/>
              <w:bidi w:val="0"/>
              <w:spacing w:lineRule="exact" w:line="365"/>
              <w:jc w:val="start"/>
              <w:rPr/>
            </w:pPr>
            <w:r>
              <w:rPr/>
              <w:t>Table 16</w:t>
            </w:r>
          </w:p>
        </w:tc>
        <w:tc>
          <w:tcPr>
            <w:tcW w:w="4320" w:type="dxa"/>
            <w:tcBorders>
              <w:bottom w:val="single" w:sz="2" w:space="0" w:color="CCCCCC"/>
            </w:tcBorders>
          </w:tcPr>
          <w:p>
            <w:pPr>
              <w:pStyle w:val="Plain"/>
              <w:bidi w:val="0"/>
              <w:spacing w:lineRule="exact" w:line="365"/>
              <w:jc w:val="start"/>
              <w:rPr/>
            </w:pPr>
            <w:r>
              <w:rPr/>
              <w:t>Complete source and quantity ledger</w:t>
            </w:r>
          </w:p>
        </w:tc>
        <w:tc>
          <w:tcPr>
            <w:tcW w:w="5760" w:type="dxa"/>
            <w:tcBorders>
              <w:bottom w:val="single" w:sz="2" w:space="0" w:color="CCCCCC"/>
            </w:tcBorders>
          </w:tcPr>
          <w:p>
            <w:pPr>
              <w:pStyle w:val="Plain"/>
              <w:bidi w:val="0"/>
              <w:spacing w:lineRule="exact" w:line="365"/>
              <w:jc w:val="start"/>
              <w:rPr/>
            </w:pPr>
            <w:r>
              <w:rPr/>
              <w:t>manuscript/claim-to-data.csv</w:t>
            </w:r>
          </w:p>
        </w:tc>
      </w:tr>
      <w:tr>
        <w:trPr/>
        <w:tc>
          <w:tcPr>
            <w:tcW w:w="2880" w:type="dxa"/>
            <w:tcBorders>
              <w:bottom w:val="single" w:sz="2" w:space="0" w:color="CCCCCC"/>
            </w:tcBorders>
          </w:tcPr>
          <w:p>
            <w:pPr>
              <w:pStyle w:val="Plain"/>
              <w:bidi w:val="0"/>
              <w:spacing w:lineRule="exact" w:line="365"/>
              <w:jc w:val="start"/>
              <w:rPr/>
            </w:pPr>
            <w:r>
              <w:rPr/>
              <w:t>Table 17</w:t>
            </w:r>
          </w:p>
        </w:tc>
        <w:tc>
          <w:tcPr>
            <w:tcW w:w="4320" w:type="dxa"/>
            <w:tcBorders>
              <w:bottom w:val="single" w:sz="2" w:space="0" w:color="CCCCCC"/>
            </w:tcBorders>
          </w:tcPr>
          <w:p>
            <w:pPr>
              <w:pStyle w:val="Plain"/>
              <w:bidi w:val="0"/>
              <w:spacing w:lineRule="exact" w:line="365"/>
              <w:jc w:val="start"/>
              <w:rPr/>
            </w:pPr>
            <w:r>
              <w:rPr/>
              <w:t>Complete source and quantity ledger</w:t>
            </w:r>
          </w:p>
        </w:tc>
        <w:tc>
          <w:tcPr>
            <w:tcW w:w="5760" w:type="dxa"/>
            <w:tcBorders>
              <w:bottom w:val="single" w:sz="2" w:space="0" w:color="CCCCCC"/>
            </w:tcBorders>
          </w:tcPr>
          <w:p>
            <w:pPr>
              <w:pStyle w:val="Plain"/>
              <w:bidi w:val="0"/>
              <w:spacing w:lineRule="exact" w:line="365"/>
              <w:jc w:val="start"/>
              <w:rPr/>
            </w:pPr>
            <w:r>
              <w:rPr/>
              <w:t>manuscript/claim-to-data.csv</w:t>
            </w:r>
          </w:p>
        </w:tc>
      </w:tr>
      <w:tr>
        <w:trPr/>
        <w:tc>
          <w:tcPr>
            <w:tcW w:w="2880" w:type="dxa"/>
            <w:tcBorders>
              <w:bottom w:val="single" w:sz="2" w:space="0" w:color="CCCCCC"/>
            </w:tcBorders>
          </w:tcPr>
          <w:p>
            <w:pPr>
              <w:pStyle w:val="Plain"/>
              <w:bidi w:val="0"/>
              <w:spacing w:lineRule="exact" w:line="365"/>
              <w:jc w:val="start"/>
              <w:rPr/>
            </w:pPr>
            <w:r>
              <w:rPr/>
              <w:t>Table 18</w:t>
            </w:r>
          </w:p>
        </w:tc>
        <w:tc>
          <w:tcPr>
            <w:tcW w:w="4320" w:type="dxa"/>
            <w:tcBorders>
              <w:bottom w:val="single" w:sz="2" w:space="0" w:color="CCCCCC"/>
            </w:tcBorders>
          </w:tcPr>
          <w:p>
            <w:pPr>
              <w:pStyle w:val="Plain"/>
              <w:bidi w:val="0"/>
              <w:spacing w:lineRule="exact" w:line="365"/>
              <w:jc w:val="start"/>
              <w:rPr/>
            </w:pPr>
            <w:r>
              <w:rPr/>
              <w:t>Complete source and quantity ledger</w:t>
            </w:r>
          </w:p>
        </w:tc>
        <w:tc>
          <w:tcPr>
            <w:tcW w:w="5760" w:type="dxa"/>
            <w:tcBorders>
              <w:bottom w:val="single" w:sz="2" w:space="0" w:color="CCCCCC"/>
            </w:tcBorders>
          </w:tcPr>
          <w:p>
            <w:pPr>
              <w:pStyle w:val="Plain"/>
              <w:bidi w:val="0"/>
              <w:spacing w:lineRule="exact" w:line="365"/>
              <w:jc w:val="start"/>
              <w:rPr/>
            </w:pPr>
            <w:r>
              <w:rPr/>
              <w:t>manuscript/claim-to-data.csv</w:t>
            </w:r>
          </w:p>
        </w:tc>
      </w:tr>
      <w:tr>
        <w:trPr/>
        <w:tc>
          <w:tcPr>
            <w:tcW w:w="2880" w:type="dxa"/>
            <w:tcBorders>
              <w:bottom w:val="single" w:sz="2" w:space="0" w:color="CCCCCC"/>
            </w:tcBorders>
          </w:tcPr>
          <w:p>
            <w:pPr>
              <w:pStyle w:val="Plain"/>
              <w:bidi w:val="0"/>
              <w:spacing w:lineRule="exact" w:line="365"/>
              <w:jc w:val="start"/>
              <w:rPr/>
            </w:pPr>
            <w:r>
              <w:rPr/>
              <w:t>Table 19</w:t>
            </w:r>
          </w:p>
        </w:tc>
        <w:tc>
          <w:tcPr>
            <w:tcW w:w="4320" w:type="dxa"/>
            <w:tcBorders>
              <w:bottom w:val="single" w:sz="2" w:space="0" w:color="CCCCCC"/>
            </w:tcBorders>
          </w:tcPr>
          <w:p>
            <w:pPr>
              <w:pStyle w:val="Plain"/>
              <w:bidi w:val="0"/>
              <w:spacing w:lineRule="exact" w:line="365"/>
              <w:jc w:val="start"/>
              <w:rPr/>
            </w:pPr>
            <w:r>
              <w:rPr/>
              <w:t>Complete source and quantity ledger</w:t>
            </w:r>
          </w:p>
        </w:tc>
        <w:tc>
          <w:tcPr>
            <w:tcW w:w="5760" w:type="dxa"/>
            <w:tcBorders>
              <w:bottom w:val="single" w:sz="2" w:space="0" w:color="CCCCCC"/>
            </w:tcBorders>
          </w:tcPr>
          <w:p>
            <w:pPr>
              <w:pStyle w:val="Plain"/>
              <w:bidi w:val="0"/>
              <w:spacing w:lineRule="exact" w:line="365"/>
              <w:jc w:val="start"/>
              <w:rPr/>
            </w:pPr>
            <w:r>
              <w:rPr/>
              <w:t>manuscript/claim-to-data.csv</w:t>
            </w:r>
          </w:p>
        </w:tc>
      </w:tr>
      <w:tr>
        <w:trPr/>
        <w:tc>
          <w:tcPr>
            <w:tcW w:w="2880" w:type="dxa"/>
            <w:tcBorders>
              <w:bottom w:val="single" w:sz="2" w:space="0" w:color="CCCCCC"/>
            </w:tcBorders>
          </w:tcPr>
          <w:p>
            <w:pPr>
              <w:pStyle w:val="Plain"/>
              <w:bidi w:val="0"/>
              <w:spacing w:lineRule="exact" w:line="365"/>
              <w:jc w:val="start"/>
              <w:rPr/>
            </w:pPr>
            <w:r>
              <w:rPr/>
              <w:t>Table 20</w:t>
            </w:r>
          </w:p>
        </w:tc>
        <w:tc>
          <w:tcPr>
            <w:tcW w:w="4320" w:type="dxa"/>
            <w:tcBorders>
              <w:bottom w:val="single" w:sz="2" w:space="0" w:color="CCCCCC"/>
            </w:tcBorders>
          </w:tcPr>
          <w:p>
            <w:pPr>
              <w:pStyle w:val="Plain"/>
              <w:bidi w:val="0"/>
              <w:spacing w:lineRule="exact" w:line="365"/>
              <w:jc w:val="start"/>
              <w:rPr/>
            </w:pPr>
            <w:r>
              <w:rPr/>
              <w:t>Complete source and quantity ledger</w:t>
            </w:r>
          </w:p>
        </w:tc>
        <w:tc>
          <w:tcPr>
            <w:tcW w:w="5760" w:type="dxa"/>
            <w:tcBorders>
              <w:bottom w:val="single" w:sz="2" w:space="0" w:color="CCCCCC"/>
            </w:tcBorders>
          </w:tcPr>
          <w:p>
            <w:pPr>
              <w:pStyle w:val="Plain"/>
              <w:bidi w:val="0"/>
              <w:spacing w:lineRule="exact" w:line="365"/>
              <w:jc w:val="start"/>
              <w:rPr/>
            </w:pPr>
            <w:r>
              <w:rPr/>
              <w:t>manuscript/claim-to-data.csv</w:t>
            </w:r>
          </w:p>
        </w:tc>
      </w:tr>
    </w:tbl>
    <w:p>
      <w:pPr>
        <w:pStyle w:val="LandscapeFigureHeading"/>
        <w:bidi w:val="0"/>
        <w:jc w:val="start"/>
        <w:rPr/>
      </w:pPr>
      <w:r>
        <w:rPr/>
        <w:t>Appendix H. Data and artifacts continued</w:t>
      </w:r>
    </w:p>
    <w:p>
      <w:pPr>
        <w:pStyle w:val="TableCaption"/>
        <w:keepNext w:val="true"/>
        <w:bidi w:val="0"/>
        <w:jc w:val="start"/>
        <w:rPr/>
      </w:pPr>
      <w:r>
        <w:rPr/>
        <w:t>Table 41. Appendix H. Data and artifacts continued</w:t>
      </w:r>
    </w:p>
    <w:tbl>
      <w:tblPr>
        <w:tblW w:w="12960" w:type="dxa"/>
        <w:jc w:val="start"/>
        <w:tblInd w:w="0" w:type="dxa"/>
        <w:tblLayout w:type="fixed"/>
        <w:tblCellMar>
          <w:top w:w="58" w:type="dxa"/>
          <w:start w:w="58" w:type="dxa"/>
          <w:bottom w:w="58" w:type="dxa"/>
          <w:end w:w="58" w:type="dxa"/>
        </w:tblCellMar>
      </w:tblPr>
      <w:tblGrid>
        <w:gridCol w:w="2880"/>
        <w:gridCol w:w="4320"/>
        <w:gridCol w:w="5760"/>
      </w:tblGrid>
      <w:tr>
        <w:trPr/>
        <w:tc>
          <w:tcPr>
            <w:tcW w:w="2880" w:type="dxa"/>
            <w:tcBorders>
              <w:bottom w:val="single" w:sz="2" w:space="0" w:color="CCCCCC"/>
            </w:tcBorders>
          </w:tcPr>
          <w:p>
            <w:pPr>
              <w:pStyle w:val="Plain"/>
              <w:bidi w:val="0"/>
              <w:spacing w:lineRule="exact" w:line="365"/>
              <w:jc w:val="start"/>
              <w:rPr/>
            </w:pPr>
            <w:r>
              <w:rPr>
                <w:rStyle w:val="Tb"/>
              </w:rPr>
              <w:t>Table or figure</w:t>
            </w:r>
          </w:p>
        </w:tc>
        <w:tc>
          <w:tcPr>
            <w:tcW w:w="4320" w:type="dxa"/>
            <w:tcBorders>
              <w:bottom w:val="single" w:sz="2" w:space="0" w:color="CCCCCC"/>
            </w:tcBorders>
          </w:tcPr>
          <w:p>
            <w:pPr>
              <w:pStyle w:val="Plain"/>
              <w:bidi w:val="0"/>
              <w:spacing w:lineRule="exact" w:line="365"/>
              <w:jc w:val="start"/>
              <w:rPr/>
            </w:pPr>
            <w:r>
              <w:rPr>
                <w:rStyle w:val="Tb"/>
              </w:rPr>
              <w:t>Record</w:t>
            </w:r>
          </w:p>
        </w:tc>
        <w:tc>
          <w:tcPr>
            <w:tcW w:w="5760" w:type="dxa"/>
            <w:tcBorders>
              <w:bottom w:val="single" w:sz="2" w:space="0" w:color="CCCCCC"/>
            </w:tcBorders>
          </w:tcPr>
          <w:p>
            <w:pPr>
              <w:pStyle w:val="Plain"/>
              <w:bidi w:val="0"/>
              <w:spacing w:lineRule="exact" w:line="365"/>
              <w:jc w:val="start"/>
              <w:rPr/>
            </w:pPr>
            <w:r>
              <w:rPr>
                <w:rStyle w:val="Tb"/>
              </w:rPr>
              <w:t>File</w:t>
            </w:r>
          </w:p>
        </w:tc>
      </w:tr>
      <w:tr>
        <w:trPr/>
        <w:tc>
          <w:tcPr>
            <w:tcW w:w="2880" w:type="dxa"/>
            <w:tcBorders>
              <w:bottom w:val="single" w:sz="2" w:space="0" w:color="CCCCCC"/>
            </w:tcBorders>
          </w:tcPr>
          <w:p>
            <w:pPr>
              <w:pStyle w:val="Plain"/>
              <w:bidi w:val="0"/>
              <w:spacing w:lineRule="exact" w:line="365"/>
              <w:jc w:val="start"/>
              <w:rPr/>
            </w:pPr>
            <w:r>
              <w:rPr/>
              <w:t>Table 21</w:t>
            </w:r>
          </w:p>
        </w:tc>
        <w:tc>
          <w:tcPr>
            <w:tcW w:w="4320" w:type="dxa"/>
            <w:tcBorders>
              <w:bottom w:val="single" w:sz="2" w:space="0" w:color="CCCCCC"/>
            </w:tcBorders>
          </w:tcPr>
          <w:p>
            <w:pPr>
              <w:pStyle w:val="Plain"/>
              <w:bidi w:val="0"/>
              <w:spacing w:lineRule="exact" w:line="365"/>
              <w:jc w:val="start"/>
              <w:rPr/>
            </w:pPr>
            <w:r>
              <w:rPr/>
              <w:t>Complete source and quantity ledger</w:t>
            </w:r>
          </w:p>
        </w:tc>
        <w:tc>
          <w:tcPr>
            <w:tcW w:w="5760" w:type="dxa"/>
            <w:tcBorders>
              <w:bottom w:val="single" w:sz="2" w:space="0" w:color="CCCCCC"/>
            </w:tcBorders>
          </w:tcPr>
          <w:p>
            <w:pPr>
              <w:pStyle w:val="Plain"/>
              <w:bidi w:val="0"/>
              <w:spacing w:lineRule="exact" w:line="365"/>
              <w:jc w:val="start"/>
              <w:rPr/>
            </w:pPr>
            <w:r>
              <w:rPr/>
              <w:t>manuscript/claim-to-data.csv</w:t>
            </w:r>
          </w:p>
        </w:tc>
      </w:tr>
      <w:tr>
        <w:trPr/>
        <w:tc>
          <w:tcPr>
            <w:tcW w:w="2880" w:type="dxa"/>
            <w:tcBorders>
              <w:bottom w:val="single" w:sz="2" w:space="0" w:color="CCCCCC"/>
            </w:tcBorders>
          </w:tcPr>
          <w:p>
            <w:pPr>
              <w:pStyle w:val="Plain"/>
              <w:bidi w:val="0"/>
              <w:spacing w:lineRule="exact" w:line="365"/>
              <w:jc w:val="start"/>
              <w:rPr/>
            </w:pPr>
            <w:r>
              <w:rPr/>
              <w:t>Table 22</w:t>
            </w:r>
          </w:p>
        </w:tc>
        <w:tc>
          <w:tcPr>
            <w:tcW w:w="4320" w:type="dxa"/>
            <w:tcBorders>
              <w:bottom w:val="single" w:sz="2" w:space="0" w:color="CCCCCC"/>
            </w:tcBorders>
          </w:tcPr>
          <w:p>
            <w:pPr>
              <w:pStyle w:val="Plain"/>
              <w:bidi w:val="0"/>
              <w:spacing w:lineRule="exact" w:line="365"/>
              <w:jc w:val="start"/>
              <w:rPr/>
            </w:pPr>
            <w:r>
              <w:rPr/>
              <w:t>Complete source and quantity ledger</w:t>
            </w:r>
          </w:p>
        </w:tc>
        <w:tc>
          <w:tcPr>
            <w:tcW w:w="5760" w:type="dxa"/>
            <w:tcBorders>
              <w:bottom w:val="single" w:sz="2" w:space="0" w:color="CCCCCC"/>
            </w:tcBorders>
          </w:tcPr>
          <w:p>
            <w:pPr>
              <w:pStyle w:val="Plain"/>
              <w:bidi w:val="0"/>
              <w:spacing w:lineRule="exact" w:line="365"/>
              <w:jc w:val="start"/>
              <w:rPr/>
            </w:pPr>
            <w:r>
              <w:rPr/>
              <w:t>manuscript/claim-to-data.csv</w:t>
            </w:r>
          </w:p>
        </w:tc>
      </w:tr>
      <w:tr>
        <w:trPr/>
        <w:tc>
          <w:tcPr>
            <w:tcW w:w="2880" w:type="dxa"/>
            <w:tcBorders>
              <w:bottom w:val="single" w:sz="2" w:space="0" w:color="CCCCCC"/>
            </w:tcBorders>
          </w:tcPr>
          <w:p>
            <w:pPr>
              <w:pStyle w:val="Plain"/>
              <w:bidi w:val="0"/>
              <w:spacing w:lineRule="exact" w:line="365"/>
              <w:jc w:val="start"/>
              <w:rPr/>
            </w:pPr>
            <w:r>
              <w:rPr/>
              <w:t>Table 23</w:t>
            </w:r>
          </w:p>
        </w:tc>
        <w:tc>
          <w:tcPr>
            <w:tcW w:w="4320" w:type="dxa"/>
            <w:tcBorders>
              <w:bottom w:val="single" w:sz="2" w:space="0" w:color="CCCCCC"/>
            </w:tcBorders>
          </w:tcPr>
          <w:p>
            <w:pPr>
              <w:pStyle w:val="Plain"/>
              <w:bidi w:val="0"/>
              <w:spacing w:lineRule="exact" w:line="365"/>
              <w:jc w:val="start"/>
              <w:rPr/>
            </w:pPr>
            <w:r>
              <w:rPr/>
              <w:t>Complete source and quantity ledger</w:t>
            </w:r>
          </w:p>
        </w:tc>
        <w:tc>
          <w:tcPr>
            <w:tcW w:w="5760" w:type="dxa"/>
            <w:tcBorders>
              <w:bottom w:val="single" w:sz="2" w:space="0" w:color="CCCCCC"/>
            </w:tcBorders>
          </w:tcPr>
          <w:p>
            <w:pPr>
              <w:pStyle w:val="Plain"/>
              <w:bidi w:val="0"/>
              <w:spacing w:lineRule="exact" w:line="365"/>
              <w:jc w:val="start"/>
              <w:rPr/>
            </w:pPr>
            <w:r>
              <w:rPr/>
              <w:t>manuscript/claim-to-data.csv</w:t>
            </w:r>
          </w:p>
        </w:tc>
      </w:tr>
      <w:tr>
        <w:trPr/>
        <w:tc>
          <w:tcPr>
            <w:tcW w:w="2880" w:type="dxa"/>
            <w:tcBorders>
              <w:bottom w:val="single" w:sz="2" w:space="0" w:color="CCCCCC"/>
            </w:tcBorders>
          </w:tcPr>
          <w:p>
            <w:pPr>
              <w:pStyle w:val="Plain"/>
              <w:bidi w:val="0"/>
              <w:spacing w:lineRule="exact" w:line="365"/>
              <w:jc w:val="start"/>
              <w:rPr/>
            </w:pPr>
            <w:r>
              <w:rPr/>
              <w:t>Table 24</w:t>
            </w:r>
          </w:p>
        </w:tc>
        <w:tc>
          <w:tcPr>
            <w:tcW w:w="4320" w:type="dxa"/>
            <w:tcBorders>
              <w:bottom w:val="single" w:sz="2" w:space="0" w:color="CCCCCC"/>
            </w:tcBorders>
          </w:tcPr>
          <w:p>
            <w:pPr>
              <w:pStyle w:val="Plain"/>
              <w:bidi w:val="0"/>
              <w:spacing w:lineRule="exact" w:line="365"/>
              <w:jc w:val="start"/>
              <w:rPr/>
            </w:pPr>
            <w:r>
              <w:rPr/>
              <w:t>Complete source and quantity ledger</w:t>
            </w:r>
          </w:p>
        </w:tc>
        <w:tc>
          <w:tcPr>
            <w:tcW w:w="5760" w:type="dxa"/>
            <w:tcBorders>
              <w:bottom w:val="single" w:sz="2" w:space="0" w:color="CCCCCC"/>
            </w:tcBorders>
          </w:tcPr>
          <w:p>
            <w:pPr>
              <w:pStyle w:val="Plain"/>
              <w:bidi w:val="0"/>
              <w:spacing w:lineRule="exact" w:line="365"/>
              <w:jc w:val="start"/>
              <w:rPr/>
            </w:pPr>
            <w:r>
              <w:rPr/>
              <w:t>manuscript/claim-to-data.csv</w:t>
            </w:r>
          </w:p>
        </w:tc>
      </w:tr>
      <w:tr>
        <w:trPr/>
        <w:tc>
          <w:tcPr>
            <w:tcW w:w="2880" w:type="dxa"/>
            <w:tcBorders>
              <w:bottom w:val="single" w:sz="2" w:space="0" w:color="CCCCCC"/>
            </w:tcBorders>
          </w:tcPr>
          <w:p>
            <w:pPr>
              <w:pStyle w:val="Plain"/>
              <w:bidi w:val="0"/>
              <w:spacing w:lineRule="exact" w:line="365"/>
              <w:jc w:val="start"/>
              <w:rPr/>
            </w:pPr>
            <w:r>
              <w:rPr/>
              <w:t>Table 25</w:t>
            </w:r>
          </w:p>
        </w:tc>
        <w:tc>
          <w:tcPr>
            <w:tcW w:w="4320" w:type="dxa"/>
            <w:tcBorders>
              <w:bottom w:val="single" w:sz="2" w:space="0" w:color="CCCCCC"/>
            </w:tcBorders>
          </w:tcPr>
          <w:p>
            <w:pPr>
              <w:pStyle w:val="Plain"/>
              <w:bidi w:val="0"/>
              <w:spacing w:lineRule="exact" w:line="365"/>
              <w:jc w:val="start"/>
              <w:rPr/>
            </w:pPr>
            <w:r>
              <w:rPr/>
              <w:t>Complete source and quantity ledger</w:t>
            </w:r>
          </w:p>
        </w:tc>
        <w:tc>
          <w:tcPr>
            <w:tcW w:w="5760" w:type="dxa"/>
            <w:tcBorders>
              <w:bottom w:val="single" w:sz="2" w:space="0" w:color="CCCCCC"/>
            </w:tcBorders>
          </w:tcPr>
          <w:p>
            <w:pPr>
              <w:pStyle w:val="Plain"/>
              <w:bidi w:val="0"/>
              <w:spacing w:lineRule="exact" w:line="365"/>
              <w:jc w:val="start"/>
              <w:rPr/>
            </w:pPr>
            <w:r>
              <w:rPr/>
              <w:t>manuscript/claim-to-data.csv</w:t>
            </w:r>
          </w:p>
        </w:tc>
      </w:tr>
      <w:tr>
        <w:trPr/>
        <w:tc>
          <w:tcPr>
            <w:tcW w:w="2880" w:type="dxa"/>
            <w:tcBorders>
              <w:bottom w:val="single" w:sz="2" w:space="0" w:color="CCCCCC"/>
            </w:tcBorders>
          </w:tcPr>
          <w:p>
            <w:pPr>
              <w:pStyle w:val="Plain"/>
              <w:bidi w:val="0"/>
              <w:spacing w:lineRule="exact" w:line="365"/>
              <w:jc w:val="start"/>
              <w:rPr/>
            </w:pPr>
            <w:r>
              <w:rPr/>
              <w:t>Table 26</w:t>
            </w:r>
          </w:p>
        </w:tc>
        <w:tc>
          <w:tcPr>
            <w:tcW w:w="4320" w:type="dxa"/>
            <w:tcBorders>
              <w:bottom w:val="single" w:sz="2" w:space="0" w:color="CCCCCC"/>
            </w:tcBorders>
          </w:tcPr>
          <w:p>
            <w:pPr>
              <w:pStyle w:val="Plain"/>
              <w:bidi w:val="0"/>
              <w:spacing w:lineRule="exact" w:line="365"/>
              <w:jc w:val="start"/>
              <w:rPr/>
            </w:pPr>
            <w:r>
              <w:rPr/>
              <w:t>Complete source and quantity ledger</w:t>
            </w:r>
          </w:p>
        </w:tc>
        <w:tc>
          <w:tcPr>
            <w:tcW w:w="5760" w:type="dxa"/>
            <w:tcBorders>
              <w:bottom w:val="single" w:sz="2" w:space="0" w:color="CCCCCC"/>
            </w:tcBorders>
          </w:tcPr>
          <w:p>
            <w:pPr>
              <w:pStyle w:val="Plain"/>
              <w:bidi w:val="0"/>
              <w:spacing w:lineRule="exact" w:line="365"/>
              <w:jc w:val="start"/>
              <w:rPr/>
            </w:pPr>
            <w:r>
              <w:rPr/>
              <w:t>manuscript/claim-to-data.csv</w:t>
            </w:r>
          </w:p>
        </w:tc>
      </w:tr>
      <w:tr>
        <w:trPr/>
        <w:tc>
          <w:tcPr>
            <w:tcW w:w="2880" w:type="dxa"/>
            <w:tcBorders>
              <w:bottom w:val="single" w:sz="2" w:space="0" w:color="CCCCCC"/>
            </w:tcBorders>
          </w:tcPr>
          <w:p>
            <w:pPr>
              <w:pStyle w:val="Plain"/>
              <w:bidi w:val="0"/>
              <w:spacing w:lineRule="exact" w:line="365"/>
              <w:jc w:val="start"/>
              <w:rPr/>
            </w:pPr>
            <w:r>
              <w:rPr/>
              <w:t>Table 27</w:t>
            </w:r>
          </w:p>
        </w:tc>
        <w:tc>
          <w:tcPr>
            <w:tcW w:w="4320" w:type="dxa"/>
            <w:tcBorders>
              <w:bottom w:val="single" w:sz="2" w:space="0" w:color="CCCCCC"/>
            </w:tcBorders>
          </w:tcPr>
          <w:p>
            <w:pPr>
              <w:pStyle w:val="Plain"/>
              <w:bidi w:val="0"/>
              <w:spacing w:lineRule="exact" w:line="365"/>
              <w:jc w:val="start"/>
              <w:rPr/>
            </w:pPr>
            <w:r>
              <w:rPr/>
              <w:t>Complete source and quantity ledger</w:t>
            </w:r>
          </w:p>
        </w:tc>
        <w:tc>
          <w:tcPr>
            <w:tcW w:w="5760" w:type="dxa"/>
            <w:tcBorders>
              <w:bottom w:val="single" w:sz="2" w:space="0" w:color="CCCCCC"/>
            </w:tcBorders>
          </w:tcPr>
          <w:p>
            <w:pPr>
              <w:pStyle w:val="Plain"/>
              <w:bidi w:val="0"/>
              <w:spacing w:lineRule="exact" w:line="365"/>
              <w:jc w:val="start"/>
              <w:rPr/>
            </w:pPr>
            <w:r>
              <w:rPr/>
              <w:t>manuscript/claim-to-data.csv</w:t>
            </w:r>
          </w:p>
        </w:tc>
      </w:tr>
      <w:tr>
        <w:trPr/>
        <w:tc>
          <w:tcPr>
            <w:tcW w:w="2880" w:type="dxa"/>
            <w:tcBorders>
              <w:bottom w:val="single" w:sz="2" w:space="0" w:color="CCCCCC"/>
            </w:tcBorders>
          </w:tcPr>
          <w:p>
            <w:pPr>
              <w:pStyle w:val="Plain"/>
              <w:bidi w:val="0"/>
              <w:spacing w:lineRule="exact" w:line="365"/>
              <w:jc w:val="start"/>
              <w:rPr/>
            </w:pPr>
            <w:r>
              <w:rPr/>
              <w:t>Table 28</w:t>
            </w:r>
          </w:p>
        </w:tc>
        <w:tc>
          <w:tcPr>
            <w:tcW w:w="4320" w:type="dxa"/>
            <w:tcBorders>
              <w:bottom w:val="single" w:sz="2" w:space="0" w:color="CCCCCC"/>
            </w:tcBorders>
          </w:tcPr>
          <w:p>
            <w:pPr>
              <w:pStyle w:val="Plain"/>
              <w:bidi w:val="0"/>
              <w:spacing w:lineRule="exact" w:line="365"/>
              <w:jc w:val="start"/>
              <w:rPr/>
            </w:pPr>
            <w:r>
              <w:rPr/>
              <w:t>Complete source and quantity ledger</w:t>
            </w:r>
          </w:p>
        </w:tc>
        <w:tc>
          <w:tcPr>
            <w:tcW w:w="5760" w:type="dxa"/>
            <w:tcBorders>
              <w:bottom w:val="single" w:sz="2" w:space="0" w:color="CCCCCC"/>
            </w:tcBorders>
          </w:tcPr>
          <w:p>
            <w:pPr>
              <w:pStyle w:val="Plain"/>
              <w:bidi w:val="0"/>
              <w:spacing w:lineRule="exact" w:line="365"/>
              <w:jc w:val="start"/>
              <w:rPr/>
            </w:pPr>
            <w:r>
              <w:rPr/>
              <w:t>manuscript/claim-to-data.csv</w:t>
            </w:r>
          </w:p>
        </w:tc>
      </w:tr>
    </w:tbl>
    <w:p>
      <w:pPr>
        <w:pStyle w:val="LandscapeFigureHeading"/>
        <w:bidi w:val="0"/>
        <w:jc w:val="start"/>
        <w:rPr/>
      </w:pPr>
      <w:r>
        <w:rPr/>
        <w:t>Appendix H. Data and artifacts continued</w:t>
      </w:r>
    </w:p>
    <w:p>
      <w:pPr>
        <w:pStyle w:val="TableCaption"/>
        <w:keepNext w:val="true"/>
        <w:bidi w:val="0"/>
        <w:jc w:val="start"/>
        <w:rPr/>
      </w:pPr>
      <w:r>
        <w:rPr/>
        <w:t>Table 42. Appendix H. Data and artifacts continued</w:t>
      </w:r>
    </w:p>
    <w:tbl>
      <w:tblPr>
        <w:tblW w:w="12960" w:type="dxa"/>
        <w:jc w:val="start"/>
        <w:tblInd w:w="0" w:type="dxa"/>
        <w:tblLayout w:type="fixed"/>
        <w:tblCellMar>
          <w:top w:w="58" w:type="dxa"/>
          <w:start w:w="58" w:type="dxa"/>
          <w:bottom w:w="58" w:type="dxa"/>
          <w:end w:w="58" w:type="dxa"/>
        </w:tblCellMar>
      </w:tblPr>
      <w:tblGrid>
        <w:gridCol w:w="2880"/>
        <w:gridCol w:w="4320"/>
        <w:gridCol w:w="5760"/>
      </w:tblGrid>
      <w:tr>
        <w:trPr/>
        <w:tc>
          <w:tcPr>
            <w:tcW w:w="2880" w:type="dxa"/>
            <w:tcBorders>
              <w:bottom w:val="single" w:sz="2" w:space="0" w:color="CCCCCC"/>
            </w:tcBorders>
          </w:tcPr>
          <w:p>
            <w:pPr>
              <w:pStyle w:val="Plain"/>
              <w:bidi w:val="0"/>
              <w:spacing w:lineRule="exact" w:line="365"/>
              <w:jc w:val="start"/>
              <w:rPr/>
            </w:pPr>
            <w:r>
              <w:rPr>
                <w:rStyle w:val="Tb"/>
              </w:rPr>
              <w:t>Table or figure</w:t>
            </w:r>
          </w:p>
        </w:tc>
        <w:tc>
          <w:tcPr>
            <w:tcW w:w="4320" w:type="dxa"/>
            <w:tcBorders>
              <w:bottom w:val="single" w:sz="2" w:space="0" w:color="CCCCCC"/>
            </w:tcBorders>
          </w:tcPr>
          <w:p>
            <w:pPr>
              <w:pStyle w:val="Plain"/>
              <w:bidi w:val="0"/>
              <w:spacing w:lineRule="exact" w:line="365"/>
              <w:jc w:val="start"/>
              <w:rPr/>
            </w:pPr>
            <w:r>
              <w:rPr>
                <w:rStyle w:val="Tb"/>
              </w:rPr>
              <w:t>Record</w:t>
            </w:r>
          </w:p>
        </w:tc>
        <w:tc>
          <w:tcPr>
            <w:tcW w:w="5760" w:type="dxa"/>
            <w:tcBorders>
              <w:bottom w:val="single" w:sz="2" w:space="0" w:color="CCCCCC"/>
            </w:tcBorders>
          </w:tcPr>
          <w:p>
            <w:pPr>
              <w:pStyle w:val="Plain"/>
              <w:bidi w:val="0"/>
              <w:spacing w:lineRule="exact" w:line="365"/>
              <w:jc w:val="start"/>
              <w:rPr/>
            </w:pPr>
            <w:r>
              <w:rPr>
                <w:rStyle w:val="Tb"/>
              </w:rPr>
              <w:t>File</w:t>
            </w:r>
          </w:p>
        </w:tc>
      </w:tr>
      <w:tr>
        <w:trPr/>
        <w:tc>
          <w:tcPr>
            <w:tcW w:w="2880" w:type="dxa"/>
            <w:tcBorders>
              <w:bottom w:val="single" w:sz="2" w:space="0" w:color="CCCCCC"/>
            </w:tcBorders>
          </w:tcPr>
          <w:p>
            <w:pPr>
              <w:pStyle w:val="Plain"/>
              <w:bidi w:val="0"/>
              <w:spacing w:lineRule="exact" w:line="365"/>
              <w:jc w:val="start"/>
              <w:rPr/>
            </w:pPr>
            <w:r>
              <w:rPr/>
              <w:t>Table 29</w:t>
            </w:r>
          </w:p>
        </w:tc>
        <w:tc>
          <w:tcPr>
            <w:tcW w:w="4320" w:type="dxa"/>
            <w:tcBorders>
              <w:bottom w:val="single" w:sz="2" w:space="0" w:color="CCCCCC"/>
            </w:tcBorders>
          </w:tcPr>
          <w:p>
            <w:pPr>
              <w:pStyle w:val="Plain"/>
              <w:bidi w:val="0"/>
              <w:spacing w:lineRule="exact" w:line="365"/>
              <w:jc w:val="start"/>
              <w:rPr/>
            </w:pPr>
            <w:r>
              <w:rPr/>
              <w:t>Complete source and quantity ledger</w:t>
            </w:r>
          </w:p>
        </w:tc>
        <w:tc>
          <w:tcPr>
            <w:tcW w:w="5760" w:type="dxa"/>
            <w:tcBorders>
              <w:bottom w:val="single" w:sz="2" w:space="0" w:color="CCCCCC"/>
            </w:tcBorders>
          </w:tcPr>
          <w:p>
            <w:pPr>
              <w:pStyle w:val="Plain"/>
              <w:bidi w:val="0"/>
              <w:spacing w:lineRule="exact" w:line="365"/>
              <w:jc w:val="start"/>
              <w:rPr/>
            </w:pPr>
            <w:r>
              <w:rPr/>
              <w:t>manuscript/claim-to-data.csv</w:t>
            </w:r>
          </w:p>
        </w:tc>
      </w:tr>
      <w:tr>
        <w:trPr/>
        <w:tc>
          <w:tcPr>
            <w:tcW w:w="2880" w:type="dxa"/>
            <w:tcBorders>
              <w:bottom w:val="single" w:sz="2" w:space="0" w:color="CCCCCC"/>
            </w:tcBorders>
          </w:tcPr>
          <w:p>
            <w:pPr>
              <w:pStyle w:val="Plain"/>
              <w:bidi w:val="0"/>
              <w:spacing w:lineRule="exact" w:line="365"/>
              <w:jc w:val="start"/>
              <w:rPr/>
            </w:pPr>
            <w:r>
              <w:rPr/>
              <w:t>Table 30</w:t>
            </w:r>
          </w:p>
        </w:tc>
        <w:tc>
          <w:tcPr>
            <w:tcW w:w="4320" w:type="dxa"/>
            <w:tcBorders>
              <w:bottom w:val="single" w:sz="2" w:space="0" w:color="CCCCCC"/>
            </w:tcBorders>
          </w:tcPr>
          <w:p>
            <w:pPr>
              <w:pStyle w:val="Plain"/>
              <w:bidi w:val="0"/>
              <w:spacing w:lineRule="exact" w:line="365"/>
              <w:jc w:val="start"/>
              <w:rPr/>
            </w:pPr>
            <w:r>
              <w:rPr/>
              <w:t>Complete source and quantity ledger</w:t>
            </w:r>
          </w:p>
        </w:tc>
        <w:tc>
          <w:tcPr>
            <w:tcW w:w="5760" w:type="dxa"/>
            <w:tcBorders>
              <w:bottom w:val="single" w:sz="2" w:space="0" w:color="CCCCCC"/>
            </w:tcBorders>
          </w:tcPr>
          <w:p>
            <w:pPr>
              <w:pStyle w:val="Plain"/>
              <w:bidi w:val="0"/>
              <w:spacing w:lineRule="exact" w:line="365"/>
              <w:jc w:val="start"/>
              <w:rPr/>
            </w:pPr>
            <w:r>
              <w:rPr/>
              <w:t>manuscript/claim-to-data.csv</w:t>
            </w:r>
          </w:p>
        </w:tc>
      </w:tr>
      <w:tr>
        <w:trPr/>
        <w:tc>
          <w:tcPr>
            <w:tcW w:w="2880" w:type="dxa"/>
            <w:tcBorders>
              <w:bottom w:val="single" w:sz="2" w:space="0" w:color="CCCCCC"/>
            </w:tcBorders>
          </w:tcPr>
          <w:p>
            <w:pPr>
              <w:pStyle w:val="Plain"/>
              <w:bidi w:val="0"/>
              <w:spacing w:lineRule="exact" w:line="365"/>
              <w:jc w:val="start"/>
              <w:rPr/>
            </w:pPr>
            <w:r>
              <w:rPr/>
              <w:t>Table 31</w:t>
            </w:r>
          </w:p>
        </w:tc>
        <w:tc>
          <w:tcPr>
            <w:tcW w:w="4320" w:type="dxa"/>
            <w:tcBorders>
              <w:bottom w:val="single" w:sz="2" w:space="0" w:color="CCCCCC"/>
            </w:tcBorders>
          </w:tcPr>
          <w:p>
            <w:pPr>
              <w:pStyle w:val="Plain"/>
              <w:bidi w:val="0"/>
              <w:spacing w:lineRule="exact" w:line="365"/>
              <w:jc w:val="start"/>
              <w:rPr/>
            </w:pPr>
            <w:r>
              <w:rPr/>
              <w:t>Complete source and quantity ledger</w:t>
            </w:r>
          </w:p>
        </w:tc>
        <w:tc>
          <w:tcPr>
            <w:tcW w:w="5760" w:type="dxa"/>
            <w:tcBorders>
              <w:bottom w:val="single" w:sz="2" w:space="0" w:color="CCCCCC"/>
            </w:tcBorders>
          </w:tcPr>
          <w:p>
            <w:pPr>
              <w:pStyle w:val="Plain"/>
              <w:bidi w:val="0"/>
              <w:spacing w:lineRule="exact" w:line="365"/>
              <w:jc w:val="start"/>
              <w:rPr/>
            </w:pPr>
            <w:r>
              <w:rPr/>
              <w:t>manuscript/claim-to-data.csv</w:t>
            </w:r>
          </w:p>
        </w:tc>
      </w:tr>
      <w:tr>
        <w:trPr/>
        <w:tc>
          <w:tcPr>
            <w:tcW w:w="2880" w:type="dxa"/>
            <w:tcBorders>
              <w:bottom w:val="single" w:sz="2" w:space="0" w:color="CCCCCC"/>
            </w:tcBorders>
          </w:tcPr>
          <w:p>
            <w:pPr>
              <w:pStyle w:val="Plain"/>
              <w:bidi w:val="0"/>
              <w:spacing w:lineRule="exact" w:line="365"/>
              <w:jc w:val="start"/>
              <w:rPr/>
            </w:pPr>
            <w:r>
              <w:rPr/>
              <w:t>Table 32</w:t>
            </w:r>
          </w:p>
        </w:tc>
        <w:tc>
          <w:tcPr>
            <w:tcW w:w="4320" w:type="dxa"/>
            <w:tcBorders>
              <w:bottom w:val="single" w:sz="2" w:space="0" w:color="CCCCCC"/>
            </w:tcBorders>
          </w:tcPr>
          <w:p>
            <w:pPr>
              <w:pStyle w:val="Plain"/>
              <w:bidi w:val="0"/>
              <w:spacing w:lineRule="exact" w:line="365"/>
              <w:jc w:val="start"/>
              <w:rPr/>
            </w:pPr>
            <w:r>
              <w:rPr/>
              <w:t>Complete source and quantity ledger</w:t>
            </w:r>
          </w:p>
        </w:tc>
        <w:tc>
          <w:tcPr>
            <w:tcW w:w="5760" w:type="dxa"/>
            <w:tcBorders>
              <w:bottom w:val="single" w:sz="2" w:space="0" w:color="CCCCCC"/>
            </w:tcBorders>
          </w:tcPr>
          <w:p>
            <w:pPr>
              <w:pStyle w:val="Plain"/>
              <w:bidi w:val="0"/>
              <w:spacing w:lineRule="exact" w:line="365"/>
              <w:jc w:val="start"/>
              <w:rPr/>
            </w:pPr>
            <w:r>
              <w:rPr/>
              <w:t>manuscript/claim-to-data.csv</w:t>
            </w:r>
          </w:p>
        </w:tc>
      </w:tr>
      <w:tr>
        <w:trPr/>
        <w:tc>
          <w:tcPr>
            <w:tcW w:w="2880" w:type="dxa"/>
            <w:tcBorders>
              <w:bottom w:val="single" w:sz="2" w:space="0" w:color="CCCCCC"/>
            </w:tcBorders>
          </w:tcPr>
          <w:p>
            <w:pPr>
              <w:pStyle w:val="Plain"/>
              <w:bidi w:val="0"/>
              <w:spacing w:lineRule="exact" w:line="365"/>
              <w:jc w:val="start"/>
              <w:rPr/>
            </w:pPr>
            <w:r>
              <w:rPr/>
              <w:t>Table 33</w:t>
            </w:r>
          </w:p>
        </w:tc>
        <w:tc>
          <w:tcPr>
            <w:tcW w:w="4320" w:type="dxa"/>
            <w:tcBorders>
              <w:bottom w:val="single" w:sz="2" w:space="0" w:color="CCCCCC"/>
            </w:tcBorders>
          </w:tcPr>
          <w:p>
            <w:pPr>
              <w:pStyle w:val="Plain"/>
              <w:bidi w:val="0"/>
              <w:spacing w:lineRule="exact" w:line="365"/>
              <w:jc w:val="start"/>
              <w:rPr/>
            </w:pPr>
            <w:r>
              <w:rPr/>
              <w:t>Paired repair reports</w:t>
            </w:r>
          </w:p>
        </w:tc>
        <w:tc>
          <w:tcPr>
            <w:tcW w:w="5760" w:type="dxa"/>
            <w:tcBorders>
              <w:bottom w:val="single" w:sz="2" w:space="0" w:color="CCCCCC"/>
            </w:tcBorders>
          </w:tcPr>
          <w:p>
            <w:pPr>
              <w:pStyle w:val="Plain"/>
              <w:bidi w:val="0"/>
              <w:spacing w:lineRule="exact" w:line="365"/>
              <w:jc w:val="start"/>
              <w:rPr/>
            </w:pPr>
            <w:r>
              <w:rPr/>
              <w:t>build/results/real/results.json</w:t>
            </w:r>
          </w:p>
        </w:tc>
      </w:tr>
      <w:tr>
        <w:trPr/>
        <w:tc>
          <w:tcPr>
            <w:tcW w:w="2880" w:type="dxa"/>
            <w:tcBorders>
              <w:bottom w:val="single" w:sz="2" w:space="0" w:color="CCCCCC"/>
            </w:tcBorders>
          </w:tcPr>
          <w:p>
            <w:pPr>
              <w:pStyle w:val="Plain"/>
              <w:bidi w:val="0"/>
              <w:spacing w:lineRule="exact" w:line="365"/>
              <w:jc w:val="start"/>
              <w:rPr/>
            </w:pPr>
            <w:r>
              <w:rPr/>
              <w:t>Table 34</w:t>
            </w:r>
          </w:p>
        </w:tc>
        <w:tc>
          <w:tcPr>
            <w:tcW w:w="4320" w:type="dxa"/>
            <w:tcBorders>
              <w:bottom w:val="single" w:sz="2" w:space="0" w:color="CCCCCC"/>
            </w:tcBorders>
          </w:tcPr>
          <w:p>
            <w:pPr>
              <w:pStyle w:val="Plain"/>
              <w:bidi w:val="0"/>
              <w:spacing w:lineRule="exact" w:line="365"/>
              <w:jc w:val="start"/>
              <w:rPr/>
            </w:pPr>
            <w:r>
              <w:rPr/>
              <w:t>Paired repair reports</w:t>
            </w:r>
          </w:p>
        </w:tc>
        <w:tc>
          <w:tcPr>
            <w:tcW w:w="5760" w:type="dxa"/>
            <w:tcBorders>
              <w:bottom w:val="single" w:sz="2" w:space="0" w:color="CCCCCC"/>
            </w:tcBorders>
          </w:tcPr>
          <w:p>
            <w:pPr>
              <w:pStyle w:val="Plain"/>
              <w:bidi w:val="0"/>
              <w:spacing w:lineRule="exact" w:line="365"/>
              <w:jc w:val="start"/>
              <w:rPr/>
            </w:pPr>
            <w:r>
              <w:rPr/>
              <w:t>build/results/real/results.json</w:t>
            </w:r>
          </w:p>
        </w:tc>
      </w:tr>
      <w:tr>
        <w:trPr/>
        <w:tc>
          <w:tcPr>
            <w:tcW w:w="2880" w:type="dxa"/>
            <w:tcBorders>
              <w:bottom w:val="single" w:sz="2" w:space="0" w:color="CCCCCC"/>
            </w:tcBorders>
          </w:tcPr>
          <w:p>
            <w:pPr>
              <w:pStyle w:val="Plain"/>
              <w:bidi w:val="0"/>
              <w:spacing w:lineRule="exact" w:line="365"/>
              <w:jc w:val="start"/>
              <w:rPr/>
            </w:pPr>
            <w:r>
              <w:rPr/>
              <w:t>Table 35</w:t>
            </w:r>
          </w:p>
        </w:tc>
        <w:tc>
          <w:tcPr>
            <w:tcW w:w="4320" w:type="dxa"/>
            <w:tcBorders>
              <w:bottom w:val="single" w:sz="2" w:space="0" w:color="CCCCCC"/>
            </w:tcBorders>
          </w:tcPr>
          <w:p>
            <w:pPr>
              <w:pStyle w:val="Plain"/>
              <w:bidi w:val="0"/>
              <w:spacing w:lineRule="exact" w:line="365"/>
              <w:jc w:val="start"/>
              <w:rPr/>
            </w:pPr>
            <w:r>
              <w:rPr/>
              <w:t>Paired repair reports</w:t>
            </w:r>
          </w:p>
        </w:tc>
        <w:tc>
          <w:tcPr>
            <w:tcW w:w="5760" w:type="dxa"/>
            <w:tcBorders>
              <w:bottom w:val="single" w:sz="2" w:space="0" w:color="CCCCCC"/>
            </w:tcBorders>
          </w:tcPr>
          <w:p>
            <w:pPr>
              <w:pStyle w:val="Plain"/>
              <w:bidi w:val="0"/>
              <w:spacing w:lineRule="exact" w:line="365"/>
              <w:jc w:val="start"/>
              <w:rPr/>
            </w:pPr>
            <w:r>
              <w:rPr/>
              <w:t>build/results/real/results.json</w:t>
            </w:r>
          </w:p>
        </w:tc>
      </w:tr>
      <w:tr>
        <w:trPr/>
        <w:tc>
          <w:tcPr>
            <w:tcW w:w="2880" w:type="dxa"/>
            <w:tcBorders>
              <w:bottom w:val="single" w:sz="2" w:space="0" w:color="CCCCCC"/>
            </w:tcBorders>
          </w:tcPr>
          <w:p>
            <w:pPr>
              <w:pStyle w:val="Plain"/>
              <w:bidi w:val="0"/>
              <w:spacing w:lineRule="exact" w:line="365"/>
              <w:jc w:val="start"/>
              <w:rPr/>
            </w:pPr>
            <w:r>
              <w:rPr/>
              <w:t>Table 36</w:t>
            </w:r>
          </w:p>
        </w:tc>
        <w:tc>
          <w:tcPr>
            <w:tcW w:w="4320" w:type="dxa"/>
            <w:tcBorders>
              <w:bottom w:val="single" w:sz="2" w:space="0" w:color="CCCCCC"/>
            </w:tcBorders>
          </w:tcPr>
          <w:p>
            <w:pPr>
              <w:pStyle w:val="Plain"/>
              <w:bidi w:val="0"/>
              <w:spacing w:lineRule="exact" w:line="365"/>
              <w:jc w:val="start"/>
              <w:rPr/>
            </w:pPr>
            <w:r>
              <w:rPr/>
              <w:t>Complete source and quantity ledger</w:t>
            </w:r>
          </w:p>
        </w:tc>
        <w:tc>
          <w:tcPr>
            <w:tcW w:w="5760" w:type="dxa"/>
            <w:tcBorders>
              <w:bottom w:val="single" w:sz="2" w:space="0" w:color="CCCCCC"/>
            </w:tcBorders>
          </w:tcPr>
          <w:p>
            <w:pPr>
              <w:pStyle w:val="Plain"/>
              <w:bidi w:val="0"/>
              <w:spacing w:lineRule="exact" w:line="365"/>
              <w:jc w:val="start"/>
              <w:rPr/>
            </w:pPr>
            <w:r>
              <w:rPr/>
              <w:t>manuscript/claim-to-data.csv</w:t>
            </w:r>
          </w:p>
        </w:tc>
      </w:tr>
    </w:tbl>
    <w:p>
      <w:pPr>
        <w:pStyle w:val="LandscapeFigureHeading"/>
        <w:bidi w:val="0"/>
        <w:jc w:val="start"/>
        <w:rPr/>
      </w:pPr>
      <w:r>
        <w:rPr/>
        <w:t>Appendix H. Data and artifacts continued</w:t>
      </w:r>
    </w:p>
    <w:p>
      <w:pPr>
        <w:pStyle w:val="TableCaption"/>
        <w:keepNext w:val="true"/>
        <w:bidi w:val="0"/>
        <w:jc w:val="start"/>
        <w:rPr/>
      </w:pPr>
      <w:r>
        <w:rPr/>
        <w:t>Table 43. Appendix H. Data and artifacts continued</w:t>
      </w:r>
    </w:p>
    <w:tbl>
      <w:tblPr>
        <w:tblW w:w="12960" w:type="dxa"/>
        <w:jc w:val="start"/>
        <w:tblInd w:w="0" w:type="dxa"/>
        <w:tblLayout w:type="fixed"/>
        <w:tblCellMar>
          <w:top w:w="58" w:type="dxa"/>
          <w:start w:w="58" w:type="dxa"/>
          <w:bottom w:w="58" w:type="dxa"/>
          <w:end w:w="58" w:type="dxa"/>
        </w:tblCellMar>
      </w:tblPr>
      <w:tblGrid>
        <w:gridCol w:w="2880"/>
        <w:gridCol w:w="4320"/>
        <w:gridCol w:w="5760"/>
      </w:tblGrid>
      <w:tr>
        <w:trPr/>
        <w:tc>
          <w:tcPr>
            <w:tcW w:w="2880" w:type="dxa"/>
            <w:tcBorders>
              <w:bottom w:val="single" w:sz="2" w:space="0" w:color="CCCCCC"/>
            </w:tcBorders>
          </w:tcPr>
          <w:p>
            <w:pPr>
              <w:pStyle w:val="Plain"/>
              <w:bidi w:val="0"/>
              <w:spacing w:lineRule="exact" w:line="365"/>
              <w:jc w:val="start"/>
              <w:rPr/>
            </w:pPr>
            <w:r>
              <w:rPr>
                <w:rStyle w:val="Tb"/>
              </w:rPr>
              <w:t>Table or figure</w:t>
            </w:r>
          </w:p>
        </w:tc>
        <w:tc>
          <w:tcPr>
            <w:tcW w:w="4320" w:type="dxa"/>
            <w:tcBorders>
              <w:bottom w:val="single" w:sz="2" w:space="0" w:color="CCCCCC"/>
            </w:tcBorders>
          </w:tcPr>
          <w:p>
            <w:pPr>
              <w:pStyle w:val="Plain"/>
              <w:bidi w:val="0"/>
              <w:spacing w:lineRule="exact" w:line="365"/>
              <w:jc w:val="start"/>
              <w:rPr/>
            </w:pPr>
            <w:r>
              <w:rPr>
                <w:rStyle w:val="Tb"/>
              </w:rPr>
              <w:t>Record</w:t>
            </w:r>
          </w:p>
        </w:tc>
        <w:tc>
          <w:tcPr>
            <w:tcW w:w="5760" w:type="dxa"/>
            <w:tcBorders>
              <w:bottom w:val="single" w:sz="2" w:space="0" w:color="CCCCCC"/>
            </w:tcBorders>
          </w:tcPr>
          <w:p>
            <w:pPr>
              <w:pStyle w:val="Plain"/>
              <w:bidi w:val="0"/>
              <w:spacing w:lineRule="exact" w:line="365"/>
              <w:jc w:val="start"/>
              <w:rPr/>
            </w:pPr>
            <w:r>
              <w:rPr>
                <w:rStyle w:val="Tb"/>
              </w:rPr>
              <w:t>File</w:t>
            </w:r>
          </w:p>
        </w:tc>
      </w:tr>
      <w:tr>
        <w:trPr/>
        <w:tc>
          <w:tcPr>
            <w:tcW w:w="2880" w:type="dxa"/>
            <w:tcBorders>
              <w:bottom w:val="single" w:sz="2" w:space="0" w:color="CCCCCC"/>
            </w:tcBorders>
          </w:tcPr>
          <w:p>
            <w:pPr>
              <w:pStyle w:val="Plain"/>
              <w:bidi w:val="0"/>
              <w:spacing w:lineRule="exact" w:line="365"/>
              <w:jc w:val="start"/>
              <w:rPr/>
            </w:pPr>
            <w:r>
              <w:rPr/>
              <w:t>Table 37</w:t>
            </w:r>
          </w:p>
        </w:tc>
        <w:tc>
          <w:tcPr>
            <w:tcW w:w="4320" w:type="dxa"/>
            <w:tcBorders>
              <w:bottom w:val="single" w:sz="2" w:space="0" w:color="CCCCCC"/>
            </w:tcBorders>
          </w:tcPr>
          <w:p>
            <w:pPr>
              <w:pStyle w:val="Plain"/>
              <w:bidi w:val="0"/>
              <w:spacing w:lineRule="exact" w:line="365"/>
              <w:jc w:val="start"/>
              <w:rPr/>
            </w:pPr>
            <w:r>
              <w:rPr/>
              <w:t>Complete source and quantity ledger</w:t>
            </w:r>
          </w:p>
        </w:tc>
        <w:tc>
          <w:tcPr>
            <w:tcW w:w="5760" w:type="dxa"/>
            <w:tcBorders>
              <w:bottom w:val="single" w:sz="2" w:space="0" w:color="CCCCCC"/>
            </w:tcBorders>
          </w:tcPr>
          <w:p>
            <w:pPr>
              <w:pStyle w:val="Plain"/>
              <w:bidi w:val="0"/>
              <w:spacing w:lineRule="exact" w:line="365"/>
              <w:jc w:val="start"/>
              <w:rPr/>
            </w:pPr>
            <w:r>
              <w:rPr/>
              <w:t>manuscript/claim-to-data.csv</w:t>
            </w:r>
          </w:p>
        </w:tc>
      </w:tr>
      <w:tr>
        <w:trPr/>
        <w:tc>
          <w:tcPr>
            <w:tcW w:w="2880" w:type="dxa"/>
            <w:tcBorders>
              <w:bottom w:val="single" w:sz="2" w:space="0" w:color="CCCCCC"/>
            </w:tcBorders>
          </w:tcPr>
          <w:p>
            <w:pPr>
              <w:pStyle w:val="Plain"/>
              <w:bidi w:val="0"/>
              <w:spacing w:lineRule="exact" w:line="365"/>
              <w:jc w:val="start"/>
              <w:rPr/>
            </w:pPr>
            <w:r>
              <w:rPr/>
              <w:t>Common failures</w:t>
            </w:r>
          </w:p>
        </w:tc>
        <w:tc>
          <w:tcPr>
            <w:tcW w:w="4320" w:type="dxa"/>
            <w:tcBorders>
              <w:bottom w:val="single" w:sz="2" w:space="0" w:color="CCCCCC"/>
            </w:tcBorders>
          </w:tcPr>
          <w:p>
            <w:pPr>
              <w:pStyle w:val="Plain"/>
              <w:bidi w:val="0"/>
              <w:spacing w:lineRule="exact" w:line="365"/>
              <w:jc w:val="start"/>
              <w:rPr/>
            </w:pPr>
            <w:r>
              <w:rPr/>
              <w:t>Approved trajectory analysis</w:t>
            </w:r>
          </w:p>
        </w:tc>
        <w:tc>
          <w:tcPr>
            <w:tcW w:w="5760" w:type="dxa"/>
            <w:tcBorders>
              <w:bottom w:val="single" w:sz="2" w:space="0" w:color="CCCCCC"/>
            </w:tcBorders>
          </w:tcPr>
          <w:p>
            <w:pPr>
              <w:pStyle w:val="Plain"/>
              <w:bidi w:val="0"/>
              <w:spacing w:lineRule="exact" w:line="365"/>
              <w:jc w:val="start"/>
              <w:rPr/>
            </w:pPr>
            <w:r>
              <w:rPr/>
              <w:t>data/received/approved-common-failures.md</w:t>
            </w:r>
          </w:p>
        </w:tc>
      </w:tr>
      <w:tr>
        <w:trPr/>
        <w:tc>
          <w:tcPr>
            <w:tcW w:w="2880" w:type="dxa"/>
            <w:tcBorders>
              <w:bottom w:val="single" w:sz="2" w:space="0" w:color="CCCCCC"/>
            </w:tcBorders>
          </w:tcPr>
          <w:p>
            <w:pPr>
              <w:pStyle w:val="Plain"/>
              <w:bidi w:val="0"/>
              <w:spacing w:lineRule="exact" w:line="365"/>
              <w:jc w:val="start"/>
              <w:rPr/>
            </w:pPr>
            <w:r>
              <w:rPr/>
              <w:t>Common failures</w:t>
            </w:r>
          </w:p>
        </w:tc>
        <w:tc>
          <w:tcPr>
            <w:tcW w:w="4320" w:type="dxa"/>
            <w:tcBorders>
              <w:bottom w:val="single" w:sz="2" w:space="0" w:color="CCCCCC"/>
            </w:tcBorders>
          </w:tcPr>
          <w:p>
            <w:pPr>
              <w:pStyle w:val="Plain"/>
              <w:bidi w:val="0"/>
              <w:spacing w:lineRule="exact" w:line="365"/>
              <w:jc w:val="start"/>
              <w:rPr/>
            </w:pPr>
            <w:r>
              <w:rPr/>
              <w:t>Action witnesses</w:t>
            </w:r>
          </w:p>
        </w:tc>
        <w:tc>
          <w:tcPr>
            <w:tcW w:w="5760" w:type="dxa"/>
            <w:tcBorders>
              <w:bottom w:val="single" w:sz="2" w:space="0" w:color="CCCCCC"/>
            </w:tcBorders>
          </w:tcPr>
          <w:p>
            <w:pPr>
              <w:pStyle w:val="Plain"/>
              <w:bidi w:val="0"/>
              <w:spacing w:lineRule="exact" w:line="365"/>
              <w:jc w:val="start"/>
              <w:rPr/>
            </w:pPr>
            <w:r>
              <w:rPr/>
              <w:t>data/received/approved-common-failure-sequences.json</w:t>
            </w:r>
          </w:p>
        </w:tc>
      </w:tr>
      <w:tr>
        <w:trPr/>
        <w:tc>
          <w:tcPr>
            <w:tcW w:w="2880" w:type="dxa"/>
            <w:tcBorders>
              <w:bottom w:val="single" w:sz="2" w:space="0" w:color="CCCCCC"/>
            </w:tcBorders>
          </w:tcPr>
          <w:p>
            <w:pPr>
              <w:pStyle w:val="Plain"/>
              <w:bidi w:val="0"/>
              <w:spacing w:lineRule="exact" w:line="365"/>
              <w:jc w:val="start"/>
              <w:rPr/>
            </w:pPr>
            <w:r>
              <w:rPr/>
              <w:t>Scripted reference</w:t>
            </w:r>
          </w:p>
        </w:tc>
        <w:tc>
          <w:tcPr>
            <w:tcW w:w="4320" w:type="dxa"/>
            <w:tcBorders>
              <w:bottom w:val="single" w:sz="2" w:space="0" w:color="CCCCCC"/>
            </w:tcBorders>
          </w:tcPr>
          <w:p>
            <w:pPr>
              <w:pStyle w:val="Plain"/>
              <w:bidi w:val="0"/>
              <w:spacing w:lineRule="exact" w:line="365"/>
              <w:jc w:val="start"/>
              <w:rPr/>
            </w:pPr>
            <w:r>
              <w:rPr/>
              <w:t>Amended-rule completed standard-task trace</w:t>
            </w:r>
          </w:p>
        </w:tc>
        <w:tc>
          <w:tcPr>
            <w:tcW w:w="5760" w:type="dxa"/>
            <w:tcBorders>
              <w:bottom w:val="single" w:sz="2" w:space="0" w:color="CCCCCC"/>
            </w:tcBorders>
          </w:tcPr>
          <w:p>
            <w:pPr>
              <w:pStyle w:val="Plain"/>
              <w:bidi w:val="0"/>
              <w:spacing w:lineRule="exact" w:line="365"/>
              <w:jc w:val="start"/>
              <w:rPr/>
            </w:pPr>
            <w:r>
              <w:rPr/>
              <w:t>data/received/editorial-amended-reference.json</w:t>
            </w:r>
          </w:p>
        </w:tc>
      </w:tr>
      <w:tr>
        <w:trPr/>
        <w:tc>
          <w:tcPr>
            <w:tcW w:w="2880" w:type="dxa"/>
            <w:tcBorders>
              <w:bottom w:val="single" w:sz="2" w:space="0" w:color="CCCCCC"/>
            </w:tcBorders>
          </w:tcPr>
          <w:p>
            <w:pPr>
              <w:pStyle w:val="Plain"/>
              <w:bidi w:val="0"/>
              <w:spacing w:lineRule="exact" w:line="365"/>
              <w:jc w:val="start"/>
              <w:rPr/>
            </w:pPr>
            <w:r>
              <w:rPr/>
              <w:t>Scorer corrections</w:t>
            </w:r>
          </w:p>
        </w:tc>
        <w:tc>
          <w:tcPr>
            <w:tcW w:w="4320" w:type="dxa"/>
            <w:tcBorders>
              <w:bottom w:val="single" w:sz="2" w:space="0" w:color="CCCCCC"/>
            </w:tcBorders>
          </w:tcPr>
          <w:p>
            <w:pPr>
              <w:pStyle w:val="Plain"/>
              <w:bidi w:val="0"/>
              <w:spacing w:lineRule="exact" w:line="365"/>
              <w:jc w:val="start"/>
              <w:rPr/>
            </w:pPr>
            <w:r>
              <w:rPr/>
              <w:t>Current per-action charge and checkpoint agreement</w:t>
            </w:r>
          </w:p>
        </w:tc>
        <w:tc>
          <w:tcPr>
            <w:tcW w:w="5760" w:type="dxa"/>
            <w:tcBorders>
              <w:bottom w:val="single" w:sz="2" w:space="0" w:color="CCCCCC"/>
            </w:tcBorders>
          </w:tcPr>
          <w:p>
            <w:pPr>
              <w:pStyle w:val="Plain"/>
              <w:bidi w:val="0"/>
              <w:spacing w:lineRule="exact" w:line="365"/>
              <w:jc w:val="start"/>
              <w:rPr/>
            </w:pPr>
            <w:r>
              <w:rPr/>
              <w:t>data/received/editorial-current-scorer-check.json</w:t>
            </w:r>
          </w:p>
        </w:tc>
      </w:tr>
      <w:tr>
        <w:trPr/>
        <w:tc>
          <w:tcPr>
            <w:tcW w:w="2880" w:type="dxa"/>
            <w:tcBorders>
              <w:bottom w:val="single" w:sz="2" w:space="0" w:color="CCCCCC"/>
            </w:tcBorders>
          </w:tcPr>
          <w:p>
            <w:pPr>
              <w:pStyle w:val="Plain"/>
              <w:bidi w:val="0"/>
              <w:spacing w:lineRule="exact" w:line="365"/>
              <w:jc w:val="start"/>
              <w:rPr/>
            </w:pPr>
            <w:r>
              <w:rPr/>
              <w:t>Task design and scoring</w:t>
            </w:r>
          </w:p>
        </w:tc>
        <w:tc>
          <w:tcPr>
            <w:tcW w:w="4320" w:type="dxa"/>
            <w:tcBorders>
              <w:bottom w:val="single" w:sz="2" w:space="0" w:color="CCCCCC"/>
            </w:tcBorders>
          </w:tcPr>
          <w:p>
            <w:pPr>
              <w:pStyle w:val="Plain"/>
              <w:bidi w:val="0"/>
              <w:spacing w:lineRule="exact" w:line="365"/>
              <w:jc w:val="start"/>
              <w:rPr/>
            </w:pPr>
            <w:r>
              <w:rPr/>
              <w:t>Benchmark design</w:t>
            </w:r>
          </w:p>
        </w:tc>
        <w:tc>
          <w:tcPr>
            <w:tcW w:w="5760" w:type="dxa"/>
            <w:tcBorders>
              <w:bottom w:val="single" w:sz="2" w:space="0" w:color="CCCCCC"/>
            </w:tcBorders>
          </w:tcPr>
          <w:p>
            <w:pPr>
              <w:pStyle w:val="Plain"/>
              <w:bidi w:val="0"/>
              <w:spacing w:lineRule="exact" w:line="365"/>
              <w:jc w:val="start"/>
              <w:rPr/>
            </w:pPr>
            <w:r>
              <w:rPr/>
              <w:t>data/received/study-design.md</w:t>
            </w:r>
          </w:p>
        </w:tc>
      </w:tr>
      <w:tr>
        <w:trPr/>
        <w:tc>
          <w:tcPr>
            <w:tcW w:w="2880" w:type="dxa"/>
            <w:tcBorders>
              <w:bottom w:val="single" w:sz="2" w:space="0" w:color="CCCCCC"/>
            </w:tcBorders>
          </w:tcPr>
          <w:p>
            <w:pPr>
              <w:pStyle w:val="Plain"/>
              <w:bidi w:val="0"/>
              <w:spacing w:lineRule="exact" w:line="365"/>
              <w:jc w:val="start"/>
              <w:rPr/>
            </w:pPr>
            <w:r>
              <w:rPr/>
              <w:t>Service information</w:t>
            </w:r>
          </w:p>
        </w:tc>
        <w:tc>
          <w:tcPr>
            <w:tcW w:w="4320" w:type="dxa"/>
            <w:tcBorders>
              <w:bottom w:val="single" w:sz="2" w:space="0" w:color="CCCCCC"/>
            </w:tcBorders>
          </w:tcPr>
          <w:p>
            <w:pPr>
              <w:pStyle w:val="Plain"/>
              <w:bidi w:val="0"/>
              <w:spacing w:lineRule="exact" w:line="365"/>
              <w:jc w:val="start"/>
              <w:rPr/>
            </w:pPr>
            <w:r>
              <w:rPr/>
              <w:t>Specifications and source corpus</w:t>
            </w:r>
          </w:p>
        </w:tc>
        <w:tc>
          <w:tcPr>
            <w:tcW w:w="5760" w:type="dxa"/>
            <w:tcBorders>
              <w:bottom w:val="single" w:sz="2" w:space="0" w:color="CCCCCC"/>
            </w:tcBorders>
          </w:tcPr>
          <w:p>
            <w:pPr>
              <w:pStyle w:val="Plain"/>
              <w:bidi w:val="0"/>
              <w:spacing w:lineRule="exact" w:line="365"/>
              <w:jc w:val="start"/>
              <w:rPr/>
            </w:pPr>
            <w:r>
              <w:rPr/>
              <w:t>data/received/service.json</w:t>
            </w:r>
          </w:p>
        </w:tc>
      </w:tr>
      <w:tr>
        <w:trPr/>
        <w:tc>
          <w:tcPr>
            <w:tcW w:w="2880" w:type="dxa"/>
            <w:tcBorders>
              <w:bottom w:val="single" w:sz="2" w:space="0" w:color="CCCCCC"/>
            </w:tcBorders>
          </w:tcPr>
          <w:p>
            <w:pPr>
              <w:pStyle w:val="Plain"/>
              <w:bidi w:val="0"/>
              <w:spacing w:lineRule="exact" w:line="365"/>
              <w:jc w:val="start"/>
              <w:rPr/>
            </w:pPr>
            <w:r>
              <w:rPr/>
              <w:t>Exploratory reports</w:t>
            </w:r>
          </w:p>
        </w:tc>
        <w:tc>
          <w:tcPr>
            <w:tcW w:w="4320" w:type="dxa"/>
            <w:tcBorders>
              <w:bottom w:val="single" w:sz="2" w:space="0" w:color="CCCCCC"/>
            </w:tcBorders>
          </w:tcPr>
          <w:p>
            <w:pPr>
              <w:pStyle w:val="Plain"/>
              <w:bidi w:val="0"/>
              <w:spacing w:lineRule="exact" w:line="365"/>
              <w:jc w:val="start"/>
              <w:rPr/>
            </w:pPr>
            <w:r>
              <w:rPr/>
              <w:t>All paired records and public identity/capture inputs</w:t>
            </w:r>
          </w:p>
        </w:tc>
        <w:tc>
          <w:tcPr>
            <w:tcW w:w="5760" w:type="dxa"/>
            <w:tcBorders>
              <w:bottom w:val="single" w:sz="2" w:space="0" w:color="CCCCCC"/>
            </w:tcBorders>
          </w:tcPr>
          <w:p>
            <w:pPr>
              <w:pStyle w:val="Plain"/>
              <w:bidi w:val="0"/>
              <w:spacing w:lineRule="exact" w:line="365"/>
              <w:jc w:val="start"/>
              <w:rPr/>
            </w:pPr>
            <w:r>
              <w:rPr/>
              <w:t>data/results-inputs.json</w:t>
            </w:r>
          </w:p>
        </w:tc>
      </w:tr>
    </w:tbl>
    <w:p>
      <w:pPr>
        <w:pStyle w:val="LandscapeFigureHeading"/>
        <w:bidi w:val="0"/>
        <w:jc w:val="start"/>
        <w:rPr/>
      </w:pPr>
      <w:r>
        <w:rPr/>
        <w:t>Appendix H. Data and artifacts continued</w:t>
      </w:r>
    </w:p>
    <w:p>
      <w:pPr>
        <w:pStyle w:val="TableCaption"/>
        <w:keepNext w:val="true"/>
        <w:bidi w:val="0"/>
        <w:jc w:val="start"/>
        <w:rPr/>
      </w:pPr>
      <w:r>
        <w:rPr/>
        <w:t>Table 44. Appendix H. Data and artifacts continued</w:t>
      </w:r>
    </w:p>
    <w:tbl>
      <w:tblPr>
        <w:tblW w:w="12960" w:type="dxa"/>
        <w:jc w:val="start"/>
        <w:tblInd w:w="0" w:type="dxa"/>
        <w:tblLayout w:type="fixed"/>
        <w:tblCellMar>
          <w:top w:w="58" w:type="dxa"/>
          <w:start w:w="58" w:type="dxa"/>
          <w:bottom w:w="58" w:type="dxa"/>
          <w:end w:w="58" w:type="dxa"/>
        </w:tblCellMar>
      </w:tblPr>
      <w:tblGrid>
        <w:gridCol w:w="2880"/>
        <w:gridCol w:w="4320"/>
        <w:gridCol w:w="5760"/>
      </w:tblGrid>
      <w:tr>
        <w:trPr/>
        <w:tc>
          <w:tcPr>
            <w:tcW w:w="2880" w:type="dxa"/>
            <w:tcBorders>
              <w:bottom w:val="single" w:sz="2" w:space="0" w:color="CCCCCC"/>
            </w:tcBorders>
          </w:tcPr>
          <w:p>
            <w:pPr>
              <w:pStyle w:val="Plain"/>
              <w:bidi w:val="0"/>
              <w:spacing w:lineRule="exact" w:line="365"/>
              <w:jc w:val="start"/>
              <w:rPr/>
            </w:pPr>
            <w:r>
              <w:rPr>
                <w:rStyle w:val="Tb"/>
              </w:rPr>
              <w:t>Table or figure</w:t>
            </w:r>
          </w:p>
        </w:tc>
        <w:tc>
          <w:tcPr>
            <w:tcW w:w="4320" w:type="dxa"/>
            <w:tcBorders>
              <w:bottom w:val="single" w:sz="2" w:space="0" w:color="CCCCCC"/>
            </w:tcBorders>
          </w:tcPr>
          <w:p>
            <w:pPr>
              <w:pStyle w:val="Plain"/>
              <w:bidi w:val="0"/>
              <w:spacing w:lineRule="exact" w:line="365"/>
              <w:jc w:val="start"/>
              <w:rPr/>
            </w:pPr>
            <w:r>
              <w:rPr>
                <w:rStyle w:val="Tb"/>
              </w:rPr>
              <w:t>Record</w:t>
            </w:r>
          </w:p>
        </w:tc>
        <w:tc>
          <w:tcPr>
            <w:tcW w:w="5760" w:type="dxa"/>
            <w:tcBorders>
              <w:bottom w:val="single" w:sz="2" w:space="0" w:color="CCCCCC"/>
            </w:tcBorders>
          </w:tcPr>
          <w:p>
            <w:pPr>
              <w:pStyle w:val="Plain"/>
              <w:bidi w:val="0"/>
              <w:spacing w:lineRule="exact" w:line="365"/>
              <w:jc w:val="start"/>
              <w:rPr/>
            </w:pPr>
            <w:r>
              <w:rPr>
                <w:rStyle w:val="Tb"/>
              </w:rPr>
              <w:t>File</w:t>
            </w:r>
          </w:p>
        </w:tc>
      </w:tr>
      <w:tr>
        <w:trPr/>
        <w:tc>
          <w:tcPr>
            <w:tcW w:w="2880" w:type="dxa"/>
            <w:tcBorders>
              <w:bottom w:val="single" w:sz="2" w:space="0" w:color="CCCCCC"/>
            </w:tcBorders>
          </w:tcPr>
          <w:p>
            <w:pPr>
              <w:pStyle w:val="Plain"/>
              <w:bidi w:val="0"/>
              <w:spacing w:lineRule="exact" w:line="365"/>
              <w:jc w:val="start"/>
              <w:rPr/>
            </w:pPr>
            <w:r>
              <w:rPr/>
              <w:t>Scripted references</w:t>
            </w:r>
          </w:p>
        </w:tc>
        <w:tc>
          <w:tcPr>
            <w:tcW w:w="4320" w:type="dxa"/>
            <w:tcBorders>
              <w:bottom w:val="single" w:sz="2" w:space="0" w:color="CCCCCC"/>
            </w:tcBorders>
          </w:tcPr>
          <w:p>
            <w:pPr>
              <w:pStyle w:val="Plain"/>
              <w:bidi w:val="0"/>
              <w:spacing w:lineRule="exact" w:line="365"/>
              <w:jc w:val="start"/>
              <w:rPr/>
            </w:pPr>
            <w:r>
              <w:rPr/>
              <w:t>Original-rule full reference pairs</w:t>
            </w:r>
          </w:p>
        </w:tc>
        <w:tc>
          <w:tcPr>
            <w:tcW w:w="5760" w:type="dxa"/>
            <w:tcBorders>
              <w:bottom w:val="single" w:sz="2" w:space="0" w:color="CCCCCC"/>
            </w:tcBorders>
          </w:tcPr>
          <w:p>
            <w:pPr>
              <w:pStyle w:val="Plain"/>
              <w:bidi w:val="0"/>
              <w:spacing w:lineRule="exact" w:line="365"/>
              <w:jc w:val="start"/>
              <w:rPr/>
            </w:pPr>
            <w:r>
              <w:rPr/>
              <w:t>data/reference-inputs.json</w:t>
            </w:r>
          </w:p>
        </w:tc>
      </w:tr>
      <w:tr>
        <w:trPr/>
        <w:tc>
          <w:tcPr>
            <w:tcW w:w="2880" w:type="dxa"/>
            <w:tcBorders>
              <w:bottom w:val="single" w:sz="2" w:space="0" w:color="CCCCCC"/>
            </w:tcBorders>
          </w:tcPr>
          <w:p>
            <w:pPr>
              <w:pStyle w:val="Plain"/>
              <w:bidi w:val="0"/>
              <w:spacing w:lineRule="exact" w:line="365"/>
              <w:jc w:val="start"/>
              <w:rPr/>
            </w:pPr>
            <w:r>
              <w:rPr/>
              <w:t>Table 38</w:t>
            </w:r>
          </w:p>
        </w:tc>
        <w:tc>
          <w:tcPr>
            <w:tcW w:w="4320" w:type="dxa"/>
            <w:tcBorders>
              <w:bottom w:val="single" w:sz="2" w:space="0" w:color="CCCCCC"/>
            </w:tcBorders>
          </w:tcPr>
          <w:p>
            <w:pPr>
              <w:pStyle w:val="Plain"/>
              <w:bidi w:val="0"/>
              <w:spacing w:lineRule="exact" w:line="365"/>
              <w:jc w:val="start"/>
              <w:rPr/>
            </w:pPr>
            <w:r>
              <w:rPr/>
              <w:t>Data and artifacts source map</w:t>
            </w:r>
          </w:p>
        </w:tc>
        <w:tc>
          <w:tcPr>
            <w:tcW w:w="5760" w:type="dxa"/>
            <w:tcBorders>
              <w:bottom w:val="single" w:sz="2" w:space="0" w:color="CCCCCC"/>
            </w:tcBorders>
          </w:tcPr>
          <w:p>
            <w:pPr>
              <w:pStyle w:val="Plain"/>
              <w:bidi w:val="0"/>
              <w:spacing w:lineRule="exact" w:line="365"/>
              <w:jc w:val="start"/>
              <w:rPr/>
            </w:pPr>
            <w:r>
              <w:rPr/>
              <w:t>data/paper.json</w:t>
            </w:r>
          </w:p>
        </w:tc>
      </w:tr>
      <w:tr>
        <w:trPr/>
        <w:tc>
          <w:tcPr>
            <w:tcW w:w="2880" w:type="dxa"/>
            <w:tcBorders>
              <w:bottom w:val="single" w:sz="2" w:space="0" w:color="CCCCCC"/>
            </w:tcBorders>
          </w:tcPr>
          <w:p>
            <w:pPr>
              <w:pStyle w:val="Plain"/>
              <w:bidi w:val="0"/>
              <w:spacing w:lineRule="exact" w:line="365"/>
              <w:jc w:val="start"/>
              <w:rPr/>
            </w:pPr>
            <w:r>
              <w:rPr/>
              <w:t>Table 39</w:t>
            </w:r>
          </w:p>
        </w:tc>
        <w:tc>
          <w:tcPr>
            <w:tcW w:w="4320" w:type="dxa"/>
            <w:tcBorders>
              <w:bottom w:val="single" w:sz="2" w:space="0" w:color="CCCCCC"/>
            </w:tcBorders>
          </w:tcPr>
          <w:p>
            <w:pPr>
              <w:pStyle w:val="Plain"/>
              <w:bidi w:val="0"/>
              <w:spacing w:lineRule="exact" w:line="365"/>
              <w:jc w:val="start"/>
              <w:rPr/>
            </w:pPr>
            <w:r>
              <w:rPr/>
              <w:t>Data and artifacts source map</w:t>
            </w:r>
          </w:p>
        </w:tc>
        <w:tc>
          <w:tcPr>
            <w:tcW w:w="5760" w:type="dxa"/>
            <w:tcBorders>
              <w:bottom w:val="single" w:sz="2" w:space="0" w:color="CCCCCC"/>
            </w:tcBorders>
          </w:tcPr>
          <w:p>
            <w:pPr>
              <w:pStyle w:val="Plain"/>
              <w:bidi w:val="0"/>
              <w:spacing w:lineRule="exact" w:line="365"/>
              <w:jc w:val="start"/>
              <w:rPr/>
            </w:pPr>
            <w:r>
              <w:rPr/>
              <w:t>data/paper.json</w:t>
            </w:r>
          </w:p>
        </w:tc>
      </w:tr>
      <w:tr>
        <w:trPr/>
        <w:tc>
          <w:tcPr>
            <w:tcW w:w="2880" w:type="dxa"/>
            <w:tcBorders>
              <w:bottom w:val="single" w:sz="2" w:space="0" w:color="CCCCCC"/>
            </w:tcBorders>
          </w:tcPr>
          <w:p>
            <w:pPr>
              <w:pStyle w:val="Plain"/>
              <w:bidi w:val="0"/>
              <w:spacing w:lineRule="exact" w:line="365"/>
              <w:jc w:val="start"/>
              <w:rPr/>
            </w:pPr>
            <w:r>
              <w:rPr/>
              <w:t>Table 40</w:t>
            </w:r>
          </w:p>
        </w:tc>
        <w:tc>
          <w:tcPr>
            <w:tcW w:w="4320" w:type="dxa"/>
            <w:tcBorders>
              <w:bottom w:val="single" w:sz="2" w:space="0" w:color="CCCCCC"/>
            </w:tcBorders>
          </w:tcPr>
          <w:p>
            <w:pPr>
              <w:pStyle w:val="Plain"/>
              <w:bidi w:val="0"/>
              <w:spacing w:lineRule="exact" w:line="365"/>
              <w:jc w:val="start"/>
              <w:rPr/>
            </w:pPr>
            <w:r>
              <w:rPr/>
              <w:t>Data and artifacts source map</w:t>
            </w:r>
          </w:p>
        </w:tc>
        <w:tc>
          <w:tcPr>
            <w:tcW w:w="5760" w:type="dxa"/>
            <w:tcBorders>
              <w:bottom w:val="single" w:sz="2" w:space="0" w:color="CCCCCC"/>
            </w:tcBorders>
          </w:tcPr>
          <w:p>
            <w:pPr>
              <w:pStyle w:val="Plain"/>
              <w:bidi w:val="0"/>
              <w:spacing w:lineRule="exact" w:line="365"/>
              <w:jc w:val="start"/>
              <w:rPr/>
            </w:pPr>
            <w:r>
              <w:rPr/>
              <w:t>data/paper.json</w:t>
            </w:r>
          </w:p>
        </w:tc>
      </w:tr>
      <w:tr>
        <w:trPr/>
        <w:tc>
          <w:tcPr>
            <w:tcW w:w="2880" w:type="dxa"/>
            <w:tcBorders>
              <w:bottom w:val="single" w:sz="2" w:space="0" w:color="CCCCCC"/>
            </w:tcBorders>
          </w:tcPr>
          <w:p>
            <w:pPr>
              <w:pStyle w:val="Plain"/>
              <w:bidi w:val="0"/>
              <w:spacing w:lineRule="exact" w:line="365"/>
              <w:jc w:val="start"/>
              <w:rPr/>
            </w:pPr>
            <w:r>
              <w:rPr/>
              <w:t>Table 41</w:t>
            </w:r>
          </w:p>
        </w:tc>
        <w:tc>
          <w:tcPr>
            <w:tcW w:w="4320" w:type="dxa"/>
            <w:tcBorders>
              <w:bottom w:val="single" w:sz="2" w:space="0" w:color="CCCCCC"/>
            </w:tcBorders>
          </w:tcPr>
          <w:p>
            <w:pPr>
              <w:pStyle w:val="Plain"/>
              <w:bidi w:val="0"/>
              <w:spacing w:lineRule="exact" w:line="365"/>
              <w:jc w:val="start"/>
              <w:rPr/>
            </w:pPr>
            <w:r>
              <w:rPr/>
              <w:t>Data and artifacts source map</w:t>
            </w:r>
          </w:p>
        </w:tc>
        <w:tc>
          <w:tcPr>
            <w:tcW w:w="5760" w:type="dxa"/>
            <w:tcBorders>
              <w:bottom w:val="single" w:sz="2" w:space="0" w:color="CCCCCC"/>
            </w:tcBorders>
          </w:tcPr>
          <w:p>
            <w:pPr>
              <w:pStyle w:val="Plain"/>
              <w:bidi w:val="0"/>
              <w:spacing w:lineRule="exact" w:line="365"/>
              <w:jc w:val="start"/>
              <w:rPr/>
            </w:pPr>
            <w:r>
              <w:rPr/>
              <w:t>data/paper.json</w:t>
            </w:r>
          </w:p>
        </w:tc>
      </w:tr>
      <w:tr>
        <w:trPr/>
        <w:tc>
          <w:tcPr>
            <w:tcW w:w="2880" w:type="dxa"/>
            <w:tcBorders>
              <w:bottom w:val="single" w:sz="2" w:space="0" w:color="CCCCCC"/>
            </w:tcBorders>
          </w:tcPr>
          <w:p>
            <w:pPr>
              <w:pStyle w:val="Plain"/>
              <w:bidi w:val="0"/>
              <w:spacing w:lineRule="exact" w:line="365"/>
              <w:jc w:val="start"/>
              <w:rPr/>
            </w:pPr>
            <w:r>
              <w:rPr/>
              <w:t>Table 42</w:t>
            </w:r>
          </w:p>
        </w:tc>
        <w:tc>
          <w:tcPr>
            <w:tcW w:w="4320" w:type="dxa"/>
            <w:tcBorders>
              <w:bottom w:val="single" w:sz="2" w:space="0" w:color="CCCCCC"/>
            </w:tcBorders>
          </w:tcPr>
          <w:p>
            <w:pPr>
              <w:pStyle w:val="Plain"/>
              <w:bidi w:val="0"/>
              <w:spacing w:lineRule="exact" w:line="365"/>
              <w:jc w:val="start"/>
              <w:rPr/>
            </w:pPr>
            <w:r>
              <w:rPr/>
              <w:t>Data and artifacts source map</w:t>
            </w:r>
          </w:p>
        </w:tc>
        <w:tc>
          <w:tcPr>
            <w:tcW w:w="5760" w:type="dxa"/>
            <w:tcBorders>
              <w:bottom w:val="single" w:sz="2" w:space="0" w:color="CCCCCC"/>
            </w:tcBorders>
          </w:tcPr>
          <w:p>
            <w:pPr>
              <w:pStyle w:val="Plain"/>
              <w:bidi w:val="0"/>
              <w:spacing w:lineRule="exact" w:line="365"/>
              <w:jc w:val="start"/>
              <w:rPr/>
            </w:pPr>
            <w:r>
              <w:rPr/>
              <w:t>data/paper.json</w:t>
            </w:r>
          </w:p>
        </w:tc>
      </w:tr>
      <w:tr>
        <w:trPr/>
        <w:tc>
          <w:tcPr>
            <w:tcW w:w="2880" w:type="dxa"/>
            <w:tcBorders>
              <w:bottom w:val="single" w:sz="2" w:space="0" w:color="CCCCCC"/>
            </w:tcBorders>
          </w:tcPr>
          <w:p>
            <w:pPr>
              <w:pStyle w:val="Plain"/>
              <w:bidi w:val="0"/>
              <w:spacing w:lineRule="exact" w:line="365"/>
              <w:jc w:val="start"/>
              <w:rPr/>
            </w:pPr>
            <w:r>
              <w:rPr/>
              <w:t>Table 43</w:t>
            </w:r>
          </w:p>
        </w:tc>
        <w:tc>
          <w:tcPr>
            <w:tcW w:w="4320" w:type="dxa"/>
            <w:tcBorders>
              <w:bottom w:val="single" w:sz="2" w:space="0" w:color="CCCCCC"/>
            </w:tcBorders>
          </w:tcPr>
          <w:p>
            <w:pPr>
              <w:pStyle w:val="Plain"/>
              <w:bidi w:val="0"/>
              <w:spacing w:lineRule="exact" w:line="365"/>
              <w:jc w:val="start"/>
              <w:rPr/>
            </w:pPr>
            <w:r>
              <w:rPr/>
              <w:t>Data and artifacts source map</w:t>
            </w:r>
          </w:p>
        </w:tc>
        <w:tc>
          <w:tcPr>
            <w:tcW w:w="5760" w:type="dxa"/>
            <w:tcBorders>
              <w:bottom w:val="single" w:sz="2" w:space="0" w:color="CCCCCC"/>
            </w:tcBorders>
          </w:tcPr>
          <w:p>
            <w:pPr>
              <w:pStyle w:val="Plain"/>
              <w:bidi w:val="0"/>
              <w:spacing w:lineRule="exact" w:line="365"/>
              <w:jc w:val="start"/>
              <w:rPr/>
            </w:pPr>
            <w:r>
              <w:rPr/>
              <w:t>data/paper.json</w:t>
            </w:r>
          </w:p>
        </w:tc>
      </w:tr>
      <w:tr>
        <w:trPr/>
        <w:tc>
          <w:tcPr>
            <w:tcW w:w="2880" w:type="dxa"/>
            <w:tcBorders>
              <w:bottom w:val="single" w:sz="2" w:space="0" w:color="CCCCCC"/>
            </w:tcBorders>
          </w:tcPr>
          <w:p>
            <w:pPr>
              <w:pStyle w:val="Plain"/>
              <w:bidi w:val="0"/>
              <w:spacing w:lineRule="exact" w:line="365"/>
              <w:jc w:val="start"/>
              <w:rPr/>
            </w:pPr>
            <w:r>
              <w:rPr/>
              <w:t>Table 44</w:t>
            </w:r>
          </w:p>
        </w:tc>
        <w:tc>
          <w:tcPr>
            <w:tcW w:w="4320" w:type="dxa"/>
            <w:tcBorders>
              <w:bottom w:val="single" w:sz="2" w:space="0" w:color="CCCCCC"/>
            </w:tcBorders>
          </w:tcPr>
          <w:p>
            <w:pPr>
              <w:pStyle w:val="Plain"/>
              <w:bidi w:val="0"/>
              <w:spacing w:lineRule="exact" w:line="365"/>
              <w:jc w:val="start"/>
              <w:rPr/>
            </w:pPr>
            <w:r>
              <w:rPr/>
              <w:t>Data and artifacts source map</w:t>
            </w:r>
          </w:p>
        </w:tc>
        <w:tc>
          <w:tcPr>
            <w:tcW w:w="5760" w:type="dxa"/>
            <w:tcBorders>
              <w:bottom w:val="single" w:sz="2" w:space="0" w:color="CCCCCC"/>
            </w:tcBorders>
          </w:tcPr>
          <w:p>
            <w:pPr>
              <w:pStyle w:val="Plain"/>
              <w:bidi w:val="0"/>
              <w:spacing w:lineRule="exact" w:line="365"/>
              <w:jc w:val="start"/>
              <w:rPr/>
            </w:pPr>
            <w:r>
              <w:rPr/>
              <w:t>data/paper.json</w:t>
            </w:r>
          </w:p>
        </w:tc>
      </w:tr>
    </w:tbl>
    <w:p>
      <w:pPr>
        <w:pStyle w:val="Normal"/>
        <w:bidi w:val="0"/>
        <w:jc w:val="start"/>
        <w:rPr/>
      </w:pPr>
      <w:r>
        <w:rPr/>
      </w:r>
    </w:p>
    <w:sectPr>
      <w:type w:val="nextPage"/>
      <w:pgSz w:orient="landscape" w:w="15840" w:h="12240"/>
      <w:pgMar w:left="1440" w:right="1440" w:gutter="0" w:header="0" w:top="1440" w:footer="0" w:bottom="1440"/>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val="false"/>
      <w:bidi w:val="0"/>
      <w:spacing w:before="0" w:after="0"/>
    </w:pPr>
    <w:rPr>
      <w:rFonts w:ascii="Times New Roman" w:hAnsi="Times New Roman" w:eastAsia="Noto Serif CJK SC" w:cs="Noto Sans Devanagari"/>
      <w:color w:val="auto"/>
      <w:kern w:val="2"/>
      <w:sz w:val="24"/>
      <w:szCs w:val="24"/>
      <w:lang w:val="en-US" w:eastAsia="zh-CN" w:bidi="hi-IN"/>
    </w:rPr>
  </w:style>
  <w:style w:type="character" w:styleId="Tb">
    <w:name w:val="T_b"/>
    <w:qFormat/>
    <w:rPr>
      <w:b/>
    </w:rPr>
  </w:style>
  <w:style w:type="character" w:styleId="Ti">
    <w:name w:val="T_i"/>
    <w:qFormat/>
    <w:rPr>
      <w:i/>
    </w:rPr>
  </w:style>
  <w:style w:type="character" w:styleId="Tbi">
    <w:name w:val="T_bi"/>
    <w:qFormat/>
    <w:rPr>
      <w:b/>
      <w:i/>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Center">
    <w:name w:val="TitleCenter"/>
    <w:qFormat/>
    <w:pPr>
      <w:widowControl w:val="false"/>
      <w:bidi w:val="0"/>
      <w:spacing w:lineRule="auto" w:line="276" w:before="0" w:after="0"/>
      <w:jc w:val="center"/>
    </w:pPr>
    <w:rPr>
      <w:rFonts w:ascii="Times New Roman" w:hAnsi="Times New Roman" w:eastAsia="Noto Serif CJK SC" w:cs="Noto Sans Devanagari"/>
      <w:color w:val="auto"/>
      <w:kern w:val="2"/>
      <w:sz w:val="24"/>
      <w:szCs w:val="24"/>
      <w:lang w:val="en-US" w:eastAsia="zh-CN" w:bidi="hi-IN"/>
    </w:rPr>
  </w:style>
  <w:style w:type="paragraph" w:styleId="TitleGap">
    <w:name w:val="TitleGap"/>
    <w:qFormat/>
    <w:pPr>
      <w:widowControl w:val="false"/>
      <w:bidi w:val="0"/>
      <w:spacing w:before="10296" w:after="0"/>
    </w:pPr>
    <w:rPr>
      <w:rFonts w:ascii="Times New Roman" w:hAnsi="Times New Roman" w:eastAsia="Noto Serif CJK SC" w:cs="Noto Sans Devanagari"/>
      <w:color w:val="auto"/>
      <w:kern w:val="2"/>
      <w:sz w:val="24"/>
      <w:szCs w:val="24"/>
      <w:lang w:val="en-US" w:eastAsia="zh-CN" w:bidi="hi-IN"/>
    </w:rPr>
  </w:style>
  <w:style w:type="paragraph" w:styleId="TitleLeft">
    <w:name w:val="TitleLeft"/>
    <w:qFormat/>
    <w:pPr>
      <w:widowControl w:val="false"/>
      <w:bidi w:val="0"/>
      <w:spacing w:lineRule="auto" w:line="276" w:before="0" w:after="0"/>
    </w:pPr>
    <w:rPr>
      <w:rFonts w:ascii="Times New Roman" w:hAnsi="Times New Roman" w:eastAsia="Noto Serif CJK SC" w:cs="Noto Sans Devanagari"/>
      <w:color w:val="auto"/>
      <w:kern w:val="2"/>
      <w:sz w:val="24"/>
      <w:szCs w:val="24"/>
      <w:lang w:val="en-US" w:eastAsia="zh-CN" w:bidi="hi-IN"/>
    </w:rPr>
  </w:style>
  <w:style w:type="paragraph" w:styleId="HeadingCenter">
    <w:name w:val="HeadingCenter"/>
    <w:qFormat/>
    <w:pPr>
      <w:keepNext w:val="true"/>
      <w:widowControl w:val="false"/>
      <w:bidi w:val="0"/>
      <w:spacing w:lineRule="auto" w:line="480" w:before="216" w:after="0"/>
      <w:jc w:val="center"/>
    </w:pPr>
    <w:rPr>
      <w:rFonts w:ascii="Times New Roman" w:hAnsi="Times New Roman" w:eastAsia="Noto Serif CJK SC" w:cs="Noto Sans Devanagari"/>
      <w:b/>
      <w:color w:val="auto"/>
      <w:kern w:val="2"/>
      <w:sz w:val="24"/>
      <w:szCs w:val="24"/>
      <w:lang w:val="en-US" w:eastAsia="zh-CN" w:bidi="hi-IN"/>
    </w:rPr>
  </w:style>
  <w:style w:type="paragraph" w:styleId="HeadingCenterBreak">
    <w:name w:val="HeadingCenterBreak"/>
    <w:basedOn w:val="HeadingCenter"/>
    <w:qFormat/>
    <w:pPr>
      <w:pageBreakBefore/>
      <w:spacing w:before="0" w:after="0"/>
    </w:pPr>
    <w:rPr/>
  </w:style>
  <w:style w:type="paragraph" w:styleId="Body">
    <w:name w:val="Body"/>
    <w:qFormat/>
    <w:pPr>
      <w:widowControl w:val="false"/>
      <w:bidi w:val="0"/>
      <w:spacing w:lineRule="auto" w:line="480" w:before="0" w:after="0"/>
      <w:ind w:firstLine="720"/>
    </w:pPr>
    <w:rPr>
      <w:rFonts w:ascii="Times New Roman" w:hAnsi="Times New Roman" w:eastAsia="Noto Serif CJK SC" w:cs="Noto Sans Devanagari"/>
      <w:color w:val="auto"/>
      <w:kern w:val="2"/>
      <w:sz w:val="24"/>
      <w:szCs w:val="24"/>
      <w:lang w:val="en-US" w:eastAsia="zh-CN" w:bidi="hi-IN"/>
    </w:rPr>
  </w:style>
  <w:style w:type="paragraph" w:styleId="ListItem">
    <w:name w:val="ListItem"/>
    <w:qFormat/>
    <w:pPr>
      <w:widowControl w:val="false"/>
      <w:tabs>
        <w:tab w:val="clear" w:pos="709"/>
        <w:tab w:val="left" w:pos="1080" w:leader="none"/>
      </w:tabs>
      <w:bidi w:val="0"/>
      <w:spacing w:lineRule="auto" w:line="480" w:before="0" w:after="0"/>
      <w:ind w:hanging="360" w:start="1080"/>
    </w:pPr>
    <w:rPr>
      <w:rFonts w:ascii="Times New Roman" w:hAnsi="Times New Roman" w:eastAsia="Noto Serif CJK SC" w:cs="Noto Sans Devanagari"/>
      <w:color w:val="auto"/>
      <w:kern w:val="2"/>
      <w:sz w:val="24"/>
      <w:szCs w:val="24"/>
      <w:lang w:val="en-US" w:eastAsia="zh-CN" w:bidi="hi-IN"/>
    </w:rPr>
  </w:style>
  <w:style w:type="paragraph" w:styleId="AppendixHeading">
    <w:name w:val="AppendixHeading"/>
    <w:qFormat/>
    <w:pPr>
      <w:keepNext w:val="true"/>
      <w:pageBreakBefore/>
      <w:widowControl w:val="false"/>
      <w:bidi w:val="0"/>
      <w:spacing w:before="0" w:after="216"/>
    </w:pPr>
    <w:rPr>
      <w:rFonts w:ascii="Times New Roman" w:hAnsi="Times New Roman" w:eastAsia="Noto Serif CJK SC" w:cs="Noto Sans Devanagari"/>
      <w:b/>
      <w:color w:val="111111"/>
      <w:kern w:val="2"/>
      <w:sz w:val="24"/>
      <w:szCs w:val="24"/>
      <w:lang w:val="en-US" w:eastAsia="zh-CN" w:bidi="hi-IN"/>
    </w:rPr>
  </w:style>
  <w:style w:type="paragraph" w:styleId="SectionHeading">
    <w:name w:val="SectionHeading"/>
    <w:qFormat/>
    <w:pPr>
      <w:keepNext w:val="true"/>
      <w:widowControl w:val="false"/>
      <w:bidi w:val="0"/>
      <w:spacing w:before="288" w:after="144"/>
    </w:pPr>
    <w:rPr>
      <w:rFonts w:ascii="Times New Roman" w:hAnsi="Times New Roman" w:eastAsia="Noto Serif CJK SC" w:cs="Noto Sans Devanagari"/>
      <w:b/>
      <w:i/>
      <w:color w:val="111111"/>
      <w:kern w:val="2"/>
      <w:sz w:val="24"/>
      <w:szCs w:val="24"/>
      <w:lang w:val="en-US" w:eastAsia="zh-CN" w:bidi="hi-IN"/>
    </w:rPr>
  </w:style>
  <w:style w:type="paragraph" w:styleId="GroupHeading">
    <w:name w:val="GroupHeading"/>
    <w:qFormat/>
    <w:pPr>
      <w:keepNext w:val="true"/>
      <w:widowControl w:val="false"/>
      <w:bidi w:val="0"/>
      <w:spacing w:before="173" w:after="0"/>
    </w:pPr>
    <w:rPr>
      <w:rFonts w:ascii="Times New Roman" w:hAnsi="Times New Roman" w:eastAsia="Noto Serif CJK SC" w:cs="Noto Sans Devanagari"/>
      <w:b/>
      <w:color w:val="111111"/>
      <w:kern w:val="2"/>
      <w:sz w:val="24"/>
      <w:szCs w:val="24"/>
      <w:lang w:val="en-US" w:eastAsia="zh-CN" w:bidi="hi-IN"/>
    </w:rPr>
  </w:style>
  <w:style w:type="paragraph" w:styleId="Plain">
    <w:name w:val="Plain"/>
    <w:qFormat/>
    <w:pPr>
      <w:widowControl w:val="false"/>
      <w:bidi w:val="0"/>
      <w:spacing w:lineRule="exact" w:line="365" w:before="0" w:after="0"/>
    </w:pPr>
    <w:rPr>
      <w:rFonts w:ascii="Times New Roman" w:hAnsi="Times New Roman" w:eastAsia="Noto Serif CJK SC" w:cs="Noto Sans Devanagari"/>
      <w:color w:val="111111"/>
      <w:kern w:val="2"/>
      <w:sz w:val="24"/>
      <w:szCs w:val="24"/>
      <w:lang w:val="en-US" w:eastAsia="zh-CN" w:bidi="hi-IN"/>
    </w:rPr>
  </w:style>
  <w:style w:type="paragraph" w:styleId="Entry">
    <w:name w:val="Entry"/>
    <w:qFormat/>
    <w:pPr>
      <w:widowControl w:val="false"/>
      <w:bidi w:val="0"/>
      <w:spacing w:lineRule="exact" w:line="365" w:before="0" w:after="0"/>
      <w:ind w:start="605"/>
    </w:pPr>
    <w:rPr>
      <w:rFonts w:ascii="Times New Roman" w:hAnsi="Times New Roman" w:eastAsia="Noto Serif CJK SC" w:cs="Noto Sans Devanagari"/>
      <w:color w:val="111111"/>
      <w:kern w:val="2"/>
      <w:sz w:val="24"/>
      <w:szCs w:val="24"/>
      <w:lang w:val="en-US" w:eastAsia="zh-CN" w:bidi="hi-IN"/>
    </w:rPr>
  </w:style>
  <w:style w:type="paragraph" w:styleId="ReferencesHeading">
    <w:name w:val="ReferencesHeading"/>
    <w:qFormat/>
    <w:pPr>
      <w:keepNext w:val="true"/>
      <w:pageBreakBefore/>
      <w:widowControl w:val="false"/>
      <w:bidi w:val="0"/>
      <w:spacing w:before="0" w:after="144"/>
    </w:pPr>
    <w:rPr>
      <w:rFonts w:ascii="Times New Roman" w:hAnsi="Times New Roman" w:eastAsia="Noto Serif CJK SC" w:cs="Noto Sans Devanagari"/>
      <w:b/>
      <w:color w:val="auto"/>
      <w:kern w:val="2"/>
      <w:sz w:val="24"/>
      <w:szCs w:val="24"/>
      <w:lang w:val="en-US" w:eastAsia="zh-CN" w:bidi="hi-IN"/>
    </w:rPr>
  </w:style>
  <w:style w:type="paragraph" w:styleId="RefName">
    <w:name w:val="RefName"/>
    <w:qFormat/>
    <w:pPr>
      <w:keepNext w:val="true"/>
      <w:widowControl w:val="false"/>
      <w:bidi w:val="0"/>
      <w:spacing w:before="173" w:after="0"/>
    </w:pPr>
    <w:rPr>
      <w:rFonts w:ascii="Times New Roman" w:hAnsi="Times New Roman" w:eastAsia="Noto Serif CJK SC" w:cs="Noto Sans Devanagari"/>
      <w:b/>
      <w:color w:val="auto"/>
      <w:kern w:val="2"/>
      <w:sz w:val="24"/>
      <w:szCs w:val="24"/>
      <w:lang w:val="en-US" w:eastAsia="zh-CN" w:bidi="hi-IN"/>
    </w:rPr>
  </w:style>
  <w:style w:type="paragraph" w:styleId="Reference">
    <w:name w:val="Reference"/>
    <w:qFormat/>
    <w:pPr>
      <w:widowControl w:val="false"/>
      <w:bidi w:val="0"/>
      <w:spacing w:lineRule="exact" w:line="365" w:before="0" w:after="0"/>
    </w:pPr>
    <w:rPr>
      <w:rFonts w:ascii="Times New Roman" w:hAnsi="Times New Roman" w:eastAsia="Noto Serif CJK SC" w:cs="Noto Sans Devanagari"/>
      <w:color w:val="auto"/>
      <w:kern w:val="2"/>
      <w:sz w:val="24"/>
      <w:szCs w:val="24"/>
      <w:lang w:val="en-US" w:eastAsia="zh-CN" w:bidi="hi-IN"/>
    </w:rPr>
  </w:style>
  <w:style w:type="paragraph" w:styleId="SourceCitation">
    <w:name w:val="SourceCitation"/>
    <w:basedOn w:val="Plain"/>
    <w:qFormat/>
    <w:pPr>
      <w:keepLines/>
      <w:spacing w:lineRule="auto" w:line="276" w:before="0" w:after="58"/>
    </w:pPr>
    <w:rPr>
      <w:sz w:val="20"/>
    </w:rPr>
  </w:style>
  <w:style w:type="paragraph" w:styleId="TableCaption">
    <w:name w:val="TableCaption"/>
    <w:basedOn w:val="SourceCitation"/>
    <w:qFormat/>
    <w:pPr>
      <w:keepNext w:val="true"/>
    </w:pPr>
    <w:rPr/>
  </w:style>
  <w:style w:type="paragraph" w:styleId="ChecklistCitation">
    <w:name w:val="ChecklistCitation"/>
    <w:basedOn w:val="SourceCitation"/>
    <w:qFormat/>
    <w:pPr>
      <w:spacing w:before="0" w:after="29"/>
    </w:pPr>
    <w:rPr/>
  </w:style>
  <w:style w:type="paragraph" w:styleId="SourceMemberGroup">
    <w:name w:val="SourceMemberGroup"/>
    <w:basedOn w:val="SourceCitation"/>
    <w:qFormat/>
    <w:pPr>
      <w:keepLines w:val="false"/>
    </w:pPr>
    <w:rPr/>
  </w:style>
  <w:style w:type="paragraph" w:styleId="TitleNote">
    <w:name w:val="TitleNote"/>
    <w:basedOn w:val="TitleCenter"/>
    <w:qFormat/>
    <w:pPr>
      <w:spacing w:lineRule="auto" w:line="360" w:before="173" w:after="0"/>
    </w:pPr>
    <w:rPr>
      <w:sz w:val="22"/>
    </w:rPr>
  </w:style>
  <w:style w:type="paragraph" w:styleId="FigureParagraph">
    <w:name w:val="FigureParagraph"/>
    <w:basedOn w:val="Plain"/>
    <w:qFormat/>
    <w:pPr>
      <w:keepNext w:val="true"/>
      <w:spacing w:lineRule="auto" w:line="240"/>
      <w:jc w:val="center"/>
    </w:pPr>
    <w:rPr/>
  </w:style>
  <w:style w:type="paragraph" w:styleId="ProtocolEntry">
    <w:name w:val="ProtocolEntry"/>
    <w:basedOn w:val="Entry"/>
    <w:qFormat/>
    <w:pPr>
      <w:keepLines/>
    </w:pPr>
    <w:rPr/>
  </w:style>
  <w:style w:type="paragraph" w:styleId="LandscapeFigureHeading">
    <w:name w:val="LandscapeFigureHeading"/>
    <w:basedOn w:val="AppendixHeading"/>
    <w:qFormat/>
    <w:pPr>
      <w:pageBreakBefore/>
    </w:pPr>
    <w:rPr/>
  </w:style>
  <w:style w:type="paragraph" w:styleId="PortraitReturnHeading">
    <w:name w:val="PortraitReturnHeading"/>
    <w:basedOn w:val="AppendixHeading"/>
    <w:qFormat/>
    <w:pPr>
      <w:pageBreakBefore/>
    </w:pPr>
    <w:rPr/>
  </w:style>
  <w:style w:type="paragraph" w:styleId="CompactTableText">
    <w:name w:val="CompactTableText"/>
    <w:basedOn w:val="Plain"/>
    <w:qFormat/>
    <w:pPr>
      <w:spacing w:lineRule="auto" w:line="264" w:before="0" w:after="43"/>
    </w:pPr>
    <w:rPr>
      <w:sz w:val="21"/>
    </w:rPr>
  </w:style>
  <w:style w:type="paragraph" w:styleId="ComparisonTableText">
    <w:name w:val="ComparisonTableText"/>
    <w:basedOn w:val="CompactTableText"/>
    <w:qFormat/>
    <w:pPr>
      <w:spacing w:lineRule="auto" w:line="252"/>
    </w:pPr>
    <w:rPr>
      <w:sz w:val="19"/>
    </w:rPr>
  </w:style>
  <w:style w:type="paragraph" w:styleId="TableContents">
    <w:name w:val="Table Contents"/>
    <w:basedOn w:val="Normal"/>
    <w:qFormat/>
    <w:pPr>
      <w:widowControl w:val="false"/>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Joshua Pinckard · ToolsEnabled, Inc.</dc:creator>
  <dc:description/>
  <dc:language>en-US</dc:language>
  <cp:lastModifiedBy>Joshua Pinckard · ToolsEnabled, Inc.</cp:lastModifiedBy>
  <cp:revision>0</cp:revision>
  <dc:subject/>
  <dc:title>Evaluating AI Agents on a Head-Gasket Repair Procedure</dc:title>
</cp:coreProperties>
</file>