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40"/>
        <w:jc w:val="left"/>
      </w:pPr>
      <w:r>
        <w:rPr>
          <w:b/>
          <w:bCs/>
          <w:color w:val="172837"/>
          <w:sz w:val="34"/>
          <w:szCs w:val="34"/>
        </w:rPr>
        <w:t xml:space="preserve">Accordo editoriale</w:t>
      </w:r>
    </w:p>
    <w:p>
      <w:pPr>
        <w:spacing w:after="140"/>
        <w:jc w:val="left"/>
      </w:pPr>
      <w:r>
        <w:rPr>
          <w:color w:val="6B7280"/>
          <w:sz w:val="18"/>
          <w:szCs w:val="18"/>
        </w:rPr>
        <w:t xml:space="preserve">Collaborazione volontaria e gratuita · durata 6 mesi · Documento 1</w:t>
      </w:r>
    </w:p>
    <w:p>
      <w:pPr>
        <w:spacing w:after="90"/>
      </w:pPr>
      <w:r>
        <w:rPr>
          <w:color w:val="222222"/>
          <w:sz w:val="20"/>
          <w:szCs w:val="20"/>
        </w:rPr>
        <w:t xml:space="preserve">Tra</w:t>
      </w:r>
    </w:p>
    <w:p>
      <w:pPr>
        <w:spacing w:after="90"/>
      </w:pPr>
      <w:r>
        <w:rPr>
          <w:color w:val="222222"/>
          <w:sz w:val="20"/>
          <w:szCs w:val="20"/>
        </w:rPr>
        <w:t xml:space="preserve">Enrico Maria Guarino, in qualità di titolare e coordinatore editoriale del progetto "</w:t>
      </w:r>
      <w:r>
        <w:rPr>
          <w:color w:val="222222"/>
          <w:sz w:val="20"/>
          <w:szCs w:val="20"/>
        </w:rPr>
        <w:t xml:space="preserve">Tooth Talk</w:t>
      </w:r>
      <w:r>
        <w:rPr>
          <w:color w:val="222222"/>
          <w:sz w:val="20"/>
          <w:szCs w:val="20"/>
          <w:vertAlign w:val="superscript"/>
        </w:rPr>
        <w:t xml:space="preserve">™</w:t>
      </w:r>
      <w:r>
        <w:rPr>
          <w:color w:val="222222"/>
          <w:sz w:val="20"/>
          <w:szCs w:val="20"/>
        </w:rPr>
        <w:t xml:space="preserve">", con sede in Via Bozzano n.11 16143 Genova, C.F. GRNNCM05H20C342W, titolare del marchio figurativo registrato presso l'Ufficio Italiano Brevetti e Marchi al n. 302025000163999 e del marchio denominativo "</w:t>
      </w:r>
      <w:r>
        <w:rPr>
          <w:color w:val="222222"/>
          <w:sz w:val="20"/>
          <w:szCs w:val="20"/>
        </w:rPr>
        <w:t xml:space="preserve">Tooth Talk</w:t>
      </w:r>
      <w:r>
        <w:rPr>
          <w:color w:val="222222"/>
          <w:sz w:val="20"/>
          <w:szCs w:val="20"/>
          <w:vertAlign w:val="superscript"/>
        </w:rPr>
        <w:t xml:space="preserve">™</w:t>
      </w:r>
      <w:r>
        <w:rPr>
          <w:color w:val="222222"/>
          <w:sz w:val="20"/>
          <w:szCs w:val="20"/>
        </w:rPr>
        <w:t xml:space="preserve">" in corso di registrazione presso il medesimo Ufficio (di seguito "il Coordinatore")</w:t>
      </w:r>
    </w:p>
    <w:p>
      <w:pPr>
        <w:spacing w:after="90"/>
      </w:pPr>
      <w:r>
        <w:rPr>
          <w:color w:val="222222"/>
          <w:sz w:val="20"/>
          <w:szCs w:val="20"/>
        </w:rPr>
        <w:t xml:space="preserve">e</w:t>
      </w:r>
    </w:p>
    <w:p>
      <w:pPr>
        <w:spacing w:after="90"/>
      </w:pPr>
      <w:r>
        <w:rPr>
          <w:color w:val="222222"/>
          <w:sz w:val="20"/>
          <w:szCs w:val="20"/>
        </w:rPr>
        <w:t>Il/La sottoscritto/a ________________________________, nato/a a ________________ il ____________, residente in ________________________________________, C.F. ________________________________ (di seguito "il Collaboratore")</w:t>
      </w:r>
    </w:p>
    <w:p>
      <w:pPr>
        <w:spacing w:after="40" w:before="110"/>
      </w:pPr>
      <w:r>
        <w:rPr>
          <w:b/>
          <w:bCs/>
          <w:color w:val="172837"/>
          <w:sz w:val="20"/>
          <w:szCs w:val="20"/>
        </w:rPr>
        <w:t xml:space="preserve">Premesso che:</w:t>
      </w:r>
    </w:p>
    <w:p>
      <w:pPr>
        <w:pStyle w:val="ListParagraph"/>
        <w:numPr>
          <w:ilvl w:val="0"/>
          <w:numId w:val="2"/>
        </w:numPr>
        <w:spacing w:after="50"/>
      </w:pPr>
      <w:r>
        <w:rPr>
          <w:color w:val="222222"/>
          <w:sz w:val="20"/>
          <w:szCs w:val="20"/>
        </w:rPr>
        <w:t xml:space="preserve">Il Progetto "</w:t>
      </w:r>
      <w:r>
        <w:rPr>
          <w:color w:val="222222"/>
          <w:sz w:val="20"/>
          <w:szCs w:val="20"/>
        </w:rPr>
        <w:t xml:space="preserve">Tooth Talk</w:t>
      </w:r>
      <w:r>
        <w:rPr>
          <w:color w:val="222222"/>
          <w:sz w:val="20"/>
          <w:szCs w:val="20"/>
          <w:vertAlign w:val="superscript"/>
        </w:rPr>
        <w:t xml:space="preserve">™</w:t>
      </w:r>
      <w:r>
        <w:rPr>
          <w:color w:val="222222"/>
          <w:sz w:val="20"/>
          <w:szCs w:val="20"/>
        </w:rPr>
        <w:t xml:space="preserve">" è un'iniziativa editoriale senza scopo di lucro finalizzata alla divulgazione della cultura della prevenzione odontoiatrica, attraverso la realizzazione e pubblicazione di contenuti informativi e formativi su canali nazionali, europei e internazionali;</w:t>
      </w:r>
    </w:p>
    <w:p>
      <w:pPr>
        <w:pStyle w:val="ListParagraph"/>
        <w:numPr>
          <w:ilvl w:val="0"/>
          <w:numId w:val="2"/>
        </w:numPr>
        <w:spacing w:after="50"/>
      </w:pPr>
      <w:r>
        <w:rPr>
          <w:color w:val="222222"/>
          <w:sz w:val="20"/>
          <w:szCs w:val="20"/>
        </w:rPr>
        <w:t xml:space="preserve">Il Collaboratore ha manifestato la propria adesione volontaria e gratuita al Progetto, condividendone le finalità;</w:t>
      </w:r>
    </w:p>
    <w:p>
      <w:pPr>
        <w:pStyle w:val="ListParagraph"/>
        <w:numPr>
          <w:ilvl w:val="0"/>
          <w:numId w:val="2"/>
        </w:numPr>
        <w:spacing w:after="50"/>
      </w:pPr>
      <w:r>
        <w:rPr>
          <w:color w:val="222222"/>
          <w:sz w:val="20"/>
          <w:szCs w:val="20"/>
        </w:rPr>
        <w:t xml:space="preserve">Le parti intendono regolare i reciproci diritti e obblighi in relazione alla realizzazione dei contenuti oggetto del presente accordo.</w:t>
      </w:r>
    </w:p>
    <w:p>
      <w:pPr>
        <w:spacing w:after="90"/>
      </w:pPr>
      <w:r>
        <w:rPr>
          <w:color w:val="222222"/>
          <w:sz w:val="20"/>
          <w:szCs w:val="20"/>
        </w:rPr>
        <w:t xml:space="preserve">Tutto ciò premesso e considerato parte integrante e sostanziale del presente atto, si conviene e stipula quanto segue.</w:t>
      </w:r>
    </w:p>
    <w:p>
      <w:pPr>
        <w:spacing w:after="70" w:before="170"/>
      </w:pPr>
      <w:r>
        <w:rPr>
          <w:b/>
          <w:bCs/>
          <w:color w:val="172837"/>
          <w:sz w:val="24"/>
          <w:szCs w:val="24"/>
        </w:rPr>
        <w:t xml:space="preserve">Art. 1 — Oggetto dell'accordo</w:t>
      </w:r>
    </w:p>
    <w:p>
      <w:pPr>
        <w:spacing w:after="70"/>
        <w:ind w:left="400" w:hanging="400"/>
      </w:pPr>
      <w:r>
        <w:rPr>
          <w:color w:val="222222"/>
          <w:sz w:val="20"/>
          <w:szCs w:val="20"/>
        </w:rPr>
        <w:t xml:space="preserve">1.1. Il presente accordo disciplina i termini e le condizioni della collaborazione volontaria e gratuita del Collaboratore al Progetto "</w:t>
      </w:r>
      <w:r>
        <w:rPr>
          <w:color w:val="222222"/>
          <w:sz w:val="20"/>
          <w:szCs w:val="20"/>
        </w:rPr>
        <w:t xml:space="preserve">Tooth Talk</w:t>
      </w:r>
      <w:r>
        <w:rPr>
          <w:color w:val="222222"/>
          <w:sz w:val="20"/>
          <w:szCs w:val="20"/>
          <w:vertAlign w:val="superscript"/>
        </w:rPr>
        <w:t xml:space="preserve">™</w:t>
      </w:r>
      <w:r>
        <w:rPr>
          <w:color w:val="222222"/>
          <w:sz w:val="20"/>
          <w:szCs w:val="20"/>
        </w:rPr>
        <w:t xml:space="preserve">", per la realizzazione di contenuti editoriali — ivi inclusi, a titolo esemplificativo e non esaustivo, interviste, video, registrazioni audio, fotografie, articoli, post per social media e ogni altra forma di espressione creativa. Il Piano Editoriale e il Calendario Editoriale sono strumenti informativi messi a disposizione dal Coordinatore; la partecipazione a specifiche proposte resta libera.</w:t>
      </w:r>
    </w:p>
    <w:p>
      <w:pPr>
        <w:spacing w:after="70"/>
        <w:ind w:left="400" w:hanging="400"/>
      </w:pPr>
      <w:r>
        <w:rPr>
          <w:color w:val="222222"/>
          <w:sz w:val="20"/>
          <w:szCs w:val="20"/>
        </w:rPr>
        <w:t xml:space="preserve">1.2. Per i contenuti che sceglie liberamente di realizzare, il Collaboratore si attiene agli standard di qualità, correttezza e conformità previsti dal Protocollo Operativo e Comportamentale allegato al presente accordo.</w:t>
      </w:r>
    </w:p>
    <w:p>
      <w:pPr>
        <w:spacing w:after="70"/>
        <w:ind w:left="400" w:hanging="400"/>
      </w:pPr>
      <w:r>
        <w:rPr>
          <w:color w:val="222222"/>
          <w:sz w:val="20"/>
          <w:szCs w:val="20"/>
        </w:rPr>
        <w:t xml:space="preserve">1.3. Il Collaboratore è libero di accettare o rifiutare ciascuna proposta, senza obbligo di motivazione, e organizza autonomamente tempi, luoghi e modalità del proprio contributo. Il Collaboratore non è soggetto a obblighi di orario, presenza, reperibilità, esclusiva o continuità.</w:t>
      </w:r>
    </w:p>
    <w:p>
      <w:pPr>
        <w:spacing w:after="70"/>
        <w:ind w:left="400" w:hanging="400"/>
      </w:pPr>
      <w:r>
        <w:rPr>
          <w:color w:val="222222"/>
          <w:sz w:val="20"/>
          <w:szCs w:val="20"/>
        </w:rPr>
        <w:t xml:space="preserve">1.4. Il Collaboratore non è tenuto a realizzare un numero minimo di contenuti, né a garantire una frequenza o una continuità di contributi. La partecipazione è occasionale e basata sulla mera disponibilità del Collaboratore.</w:t>
      </w:r>
    </w:p>
    <w:p>
      <w:pPr>
        <w:spacing w:after="70"/>
        <w:ind w:left="400" w:hanging="400"/>
      </w:pPr>
      <w:r>
        <w:rPr>
          <w:color w:val="222222"/>
          <w:sz w:val="20"/>
          <w:szCs w:val="20"/>
        </w:rPr>
        <w:t xml:space="preserve">1.5. Il gestionale è la piattaforma informatica del Progetto adibita alla raccolta e conservazione documentale dei consensi di terzi, alla gestione delle comunicazioni formali tra le parti e alla sottoscrizione digitale del presente accordo. Il gestionale non costituisce strumento per la realizzazione dei contenuti, non registra orari, presenze o tempi di lavoro dei Collaboratori, e non produce reportistica sulle relative attività. Le attrezzature e i software utilizzati per la produzione dei contenuti restano nella esclusiva disponibilità del Collaboratore, come previsto dal Protocollo Operativo.</w:t>
      </w:r>
    </w:p>
    <w:p>
      <w:pPr>
        <w:spacing w:after="70" w:before="170"/>
      </w:pPr>
      <w:r>
        <w:rPr>
          <w:b/>
          <w:bCs/>
          <w:color w:val="172837"/>
          <w:sz w:val="24"/>
          <w:szCs w:val="24"/>
        </w:rPr>
        <w:t xml:space="preserve">Art. 2 — Natura volontaria e gratuita della collaborazione</w:t>
      </w:r>
    </w:p>
    <w:p>
      <w:pPr>
        <w:spacing w:after="70"/>
        <w:ind w:left="400" w:hanging="400"/>
      </w:pPr>
      <w:r>
        <w:rPr>
          <w:color w:val="222222"/>
          <w:sz w:val="20"/>
          <w:szCs w:val="20"/>
        </w:rPr>
        <w:t xml:space="preserve">2.1. Il Collaboratore dichiara di aderire al Progetto in via totalmente volontaria e gratuita, senza che sia prevista alcuna forma di retribuzione, rimborso spese, compenso o altra utilità di qualsiasi natura, presente o futura.</w:t>
      </w:r>
    </w:p>
    <w:p>
      <w:pPr>
        <w:spacing w:after="70"/>
        <w:ind w:left="400" w:hanging="400"/>
      </w:pPr>
      <w:r>
        <w:rPr>
          <w:color w:val="222222"/>
          <w:sz w:val="20"/>
          <w:szCs w:val="20"/>
        </w:rPr>
        <w:t xml:space="preserve">2.2. Il tempo e le energie che il Collaboratore dedicherà alle attività necessarie per la realizzazione dei contenuti costituiscono una scelta libera e consapevole, determinata esclusivamente dalla condivisione delle finalità educative e di prevenzione del Progetto.</w:t>
      </w:r>
    </w:p>
    <w:p>
      <w:pPr>
        <w:spacing w:after="70"/>
        <w:ind w:left="400" w:hanging="400"/>
      </w:pPr>
      <w:r>
        <w:rPr>
          <w:color w:val="222222"/>
          <w:sz w:val="20"/>
          <w:szCs w:val="20"/>
        </w:rPr>
        <w:t xml:space="preserve">2.3. Il Collaboratore prende atto e accetta che la collaborazione non instaura alcun rapporto di lavoro subordinato, parasubordinato, di tirocinio o di stage, né alcun vincolo di dipendenza o subordinazione nei confronti del Coordinatore o del Progetto.</w:t>
      </w:r>
    </w:p>
    <w:p>
      <w:pPr>
        <w:spacing w:after="70"/>
        <w:ind w:left="400" w:hanging="400"/>
      </w:pPr>
      <w:r>
        <w:rPr>
          <w:color w:val="222222"/>
          <w:sz w:val="20"/>
          <w:szCs w:val="20"/>
        </w:rPr>
        <w:t>2.4. Qualora il Collaboratore sia, alla data di sottoscrizione, iscritto/a a un percorso di studi o di formazione, resta fermo quanto previsto all'art. 2.3: la partecipazione al Progetto in tale qualità non è in alcun caso configurabile come tirocinio curriculare o extracurriculare, stage o altra forma di alternanza scuola-lavoro, e non dà diritto al riconoscimento di crediti formativi (CFU/ECTS) né di qualificazioni equivalenti.</w:t>
      </w:r>
    </w:p>
    <w:p>
      <w:pPr>
        <w:spacing w:after="70" w:before="170"/>
      </w:pPr>
      <w:r>
        <w:rPr>
          <w:b/>
          <w:bCs/>
          <w:color w:val="172837"/>
          <w:sz w:val="24"/>
          <w:szCs w:val="24"/>
        </w:rPr>
        <w:t xml:space="preserve">Art. 3 — Benefici per il Collaboratore</w:t>
      </w:r>
    </w:p>
    <w:p>
      <w:pPr>
        <w:spacing w:after="70"/>
        <w:ind w:left="400" w:hanging="400"/>
      </w:pPr>
      <w:r>
        <w:rPr>
          <w:color w:val="222222"/>
          <w:sz w:val="20"/>
          <w:szCs w:val="20"/>
        </w:rPr>
        <w:t>3.1. Il Collaboratore riconosce che la partecipazione al Progetto gli offre opportunità di rilievo sul piano formativo e professionale, ivi inclusi, a titolo esemplificativo: il consolidamento di rapporti extracurricolari con docenti e professionisti del settore e futuri colleghi odontoiatri; occasioni di apprendimento e approfondimento delle tematiche oggetto dei contenuti; visibilità e riconoscibilità nei contesti — nazionali, europei e internazionali — in cui i contenuti di "</w:t>
      </w:r>
      <w:r>
        <w:rPr>
          <w:color w:val="222222"/>
          <w:sz w:val="20"/>
          <w:szCs w:val="20"/>
        </w:rPr>
        <w:t xml:space="preserve">Tooth Talk</w:t>
      </w:r>
      <w:r>
        <w:rPr>
          <w:color w:val="222222"/>
          <w:sz w:val="20"/>
          <w:szCs w:val="20"/>
          <w:vertAlign w:val="superscript"/>
        </w:rPr>
        <w:t xml:space="preserve">™</w:t>
      </w:r>
      <w:r>
        <w:rPr>
          <w:color w:val="222222"/>
          <w:sz w:val="20"/>
          <w:szCs w:val="20"/>
        </w:rPr>
        <w:t xml:space="preserve">" verranno pubblicati.</w:t>
      </w:r>
    </w:p>
    <w:p>
      <w:pPr>
        <w:spacing w:after="70"/>
        <w:ind w:left="400" w:hanging="400"/>
      </w:pPr>
      <w:r>
        <w:rPr>
          <w:color w:val="222222"/>
          <w:sz w:val="20"/>
          <w:szCs w:val="20"/>
        </w:rPr>
        <w:t xml:space="preserve">3.2. Tali benefici costituiscono l'unico corrispettivo della collaborazione prestata.</w:t>
      </w:r>
    </w:p>
    <w:p>
      <w:pPr>
        <w:spacing w:after="70" w:before="170"/>
      </w:pPr>
      <w:r>
        <w:rPr>
          <w:b/>
          <w:bCs/>
          <w:color w:val="172837"/>
          <w:sz w:val="24"/>
          <w:szCs w:val="24"/>
        </w:rPr>
        <w:t xml:space="preserve">Art. 4 — Licenza dei diritti di proprietà intellettuale</w:t>
      </w:r>
    </w:p>
    <w:p>
      <w:pPr>
        <w:spacing w:after="70"/>
        <w:ind w:left="400" w:hanging="400"/>
      </w:pPr>
      <w:r>
        <w:rPr>
          <w:color w:val="222222"/>
          <w:sz w:val="20"/>
          <w:szCs w:val="20"/>
        </w:rPr>
        <w:t xml:space="preserve">4.1. Il Collaboratore concede al Progetto "</w:t>
      </w:r>
      <w:r>
        <w:rPr>
          <w:color w:val="222222"/>
          <w:sz w:val="20"/>
          <w:szCs w:val="20"/>
        </w:rPr>
        <w:t xml:space="preserve">Tooth Talk</w:t>
      </w:r>
      <w:r>
        <w:rPr>
          <w:color w:val="222222"/>
          <w:sz w:val="20"/>
          <w:szCs w:val="20"/>
          <w:vertAlign w:val="superscript"/>
        </w:rPr>
        <w:t xml:space="preserve">™</w:t>
      </w:r>
      <w:r>
        <w:rPr>
          <w:color w:val="222222"/>
          <w:sz w:val="20"/>
          <w:szCs w:val="20"/>
        </w:rPr>
        <w:t xml:space="preserve">", a titolo gratuito e senza limiti territoriali, una licenza non esclusiva per la registrazione, riproduzione, distribuzione, comunicazione al pubblico, messa a disposizione del pubblico, montaggio, trasformazione, elaborazione e adattamento delle opere realizzate nell'ambito della presente collaborazione, ivi inclusi, a titolo esemplificativo e non esaustivo: interviste, video, registrazioni audio, fotografie, articoli e post per social media, su qualsiasi supporto, mezzo e formato, noto o futuro, ivi inclusi i canali digitali, social media, piattaforme di streaming, pubblicazioni cartacee e ogni altra forma di diffusione. Il Collaboratore conserva la titolarità dei diritti morali d'autore sulle opere, ai sensi dell'art. 20 e seguenti della Legge 22 aprile 1941, n. 633 (Legge sul diritto d'autore).</w:t>
      </w:r>
    </w:p>
    <w:p>
      <w:pPr>
        <w:spacing w:after="70"/>
        <w:ind w:left="400" w:hanging="400"/>
      </w:pPr>
      <w:r>
        <w:rPr>
          <w:color w:val="222222"/>
          <w:sz w:val="20"/>
          <w:szCs w:val="20"/>
        </w:rPr>
        <w:t xml:space="preserve">4.2. La licenza di cui al presente articolo resta valida, anche successivamente alla cessazione della collaborazione, per i contenuti già pubblicati alla data di cessazione, salvo quanto espressamente previsto all'art. 7 e all'art. 8 del presente accordo.</w:t>
      </w:r>
    </w:p>
    <w:p>
      <w:pPr>
        <w:spacing w:after="70"/>
        <w:ind w:left="400" w:hanging="400"/>
      </w:pPr>
      <w:r>
        <w:rPr>
          <w:color w:val="222222"/>
          <w:sz w:val="20"/>
          <w:szCs w:val="20"/>
        </w:rPr>
        <w:t xml:space="preserve">4.3. Ai sensi dell'art. 110 della Legge 22 aprile 1941, n. 633 (Legge sul diritto d'autore), le parti convengono che la presente licenza dei diritti di utilizzazione è provata per iscritto dal presente atto.</w:t>
      </w:r>
    </w:p>
    <w:p>
      <w:pPr>
        <w:spacing w:after="70"/>
        <w:ind w:left="400" w:hanging="400"/>
      </w:pPr>
      <w:r>
        <w:rPr>
          <w:color w:val="222222"/>
          <w:sz w:val="20"/>
          <w:szCs w:val="20"/>
        </w:rPr>
        <w:t xml:space="preserve">4.4. Il Collaboratore dichiara e garantisce che i contenuti realizzati sono originali e non ledono diritti di terzi, e si impegna a manlevare e tenere indenne il Progetto da qualsiasi rivendicazione o pretesa avanzata da terzi in relazione ai contenuti stessi, attenendosi strettamente ai comportamenti e alla documentazione da produrre in allegato ai contenuti, come previsto dal Protocollo Operativo.</w:t>
      </w:r>
    </w:p>
    <w:p>
      <w:pPr>
        <w:spacing w:after="70"/>
        <w:ind w:left="400" w:hanging="400"/>
      </w:pPr>
      <w:r>
        <w:rPr>
          <w:color w:val="222222"/>
          <w:sz w:val="20"/>
          <w:szCs w:val="20"/>
        </w:rPr>
        <w:t>4.5. Il Collaboratore può ripubblicare, esclusivamente sul proprio profilo social personale e per la sola durata della collaborazione, i contenuti in cui appare (ad esempio taggandosi nei video pubblicati dal Progetto), a condizione che ne sia indicata la provenienza dal Progetto “Tooth Talk™” e che il contenuto non venga alterato rispetto alla versione pubblicata dal Progetto. Il Collaboratore non può pubblicare autonomamente, su altri canali o piattaforme, i contenuti (video, audio, fotografie) realizzati nell'ambito del Progetto, né utilizzarli per finalità diverse da quelle editoriali del Progetto, salvo autorizzazione scritta del Coordinatore.</w:t>
      </w:r>
    </w:p>
    <w:p>
      <w:pPr>
        <w:spacing w:after="70"/>
        <w:ind w:left="400" w:hanging="400"/>
      </w:pPr>
      <w:r>
        <w:rPr>
          <w:color w:val="222222"/>
          <w:sz w:val="20"/>
          <w:szCs w:val="20"/>
        </w:rPr>
        <w:t xml:space="preserve">4.6. La facoltà di cui all'art. 4.5 è legata alla collaborazione in corso: alla cessazione della collaborazione, per qualsiasi causa, il Collaboratore non può ripubblicare ulteriori contenuti del Progetto. </w:t>
      </w:r>
      <w:r>
        <w:rPr>
          <w:b/>
          <w:color w:val="222222"/>
          <w:sz w:val="20"/>
        </w:rPr>
        <w:t>Qualora un contenuto pubblicato venga rimosso o oscurato dal Progetto a seguito di una richiesta di rimozione accolta ai sensi dell'Art. 8.3, il Collaboratore che lo avesse ripubblicato sul proprio profilo ai sensi dell'art. 4.5 si impegna a rimuoverlo a propria volta, senza ritardo ingiustificato: mantenere online un contenuto che il Progetto non può più diffondere costituirebbe un uso del marchio “Tooth Talk™” contrario alla volontà del suo titolare.</w:t>
      </w:r>
    </w:p>
    <w:p>
      <w:pPr>
        <w:spacing w:after="70"/>
        <w:ind w:left="400" w:hanging="400"/>
      </w:pPr>
      <w:r>
        <w:rPr>
          <w:color w:val="222222"/>
          <w:sz w:val="20"/>
          <w:szCs w:val="20"/>
        </w:rPr>
        <w:t>4.7. Qualora il Collaboratore gestisca canali social propri o partecipi ad altri progetti editoriali, può realizzare contenuti autonomi anche su tematiche affini a quelle trattate da “Tooth Talk™”, a condizione che il girato finale pubblicato non possa essere ricondotto — per elementi grafici, stilistici o di montaggio — a quelli utilizzati dal Progetto, e non possa ingenerare confusione circa la provenienza o l'affiliazione con “Tooth Talk™”, e che non venga utilizzata la denominazione, il marchio o il logo “Tooth Talk™”.</w:t>
      </w:r>
    </w:p>
    <w:p>
      <w:pPr>
        <w:spacing w:after="70" w:before="170"/>
      </w:pPr>
      <w:r>
        <w:rPr>
          <w:b/>
          <w:bCs/>
          <w:color w:val="172837"/>
          <w:sz w:val="24"/>
          <w:szCs w:val="24"/>
        </w:rPr>
        <w:t xml:space="preserve">Art. 5 — Diritto di pubblicazione e utilizzo dei contenuti</w:t>
      </w:r>
    </w:p>
    <w:p>
      <w:pPr>
        <w:spacing w:after="70"/>
        <w:ind w:left="400" w:hanging="400"/>
      </w:pPr>
      <w:r>
        <w:rPr>
          <w:color w:val="222222"/>
          <w:sz w:val="20"/>
          <w:szCs w:val="20"/>
        </w:rPr>
        <w:t xml:space="preserve">5.1. Il Coordinatore ha il diritto esclusivo di decidere se, quando e in quali modalità pubblicare, diffondere e utilizzare i contenuti realizzati dal Collaboratore, in coerenza con il Piano Editoriale e il Calendario Editoriale del Progetto.</w:t>
      </w:r>
    </w:p>
    <w:p>
      <w:pPr>
        <w:spacing w:after="70"/>
        <w:ind w:left="400" w:hanging="400"/>
      </w:pPr>
      <w:r>
        <w:rPr>
          <w:color w:val="222222"/>
          <w:sz w:val="20"/>
          <w:szCs w:val="20"/>
        </w:rPr>
        <w:t xml:space="preserve">5.2. Il Collaboratore riconosce che i contenuti potranno essere modificati, montati, adattati e integrati con altri materiali, nel rispetto della finalità editoriale del Progetto e del contesto in cui verranno pubblicati.</w:t>
      </w:r>
    </w:p>
    <w:p>
      <w:pPr>
        <w:spacing w:after="70"/>
        <w:ind w:left="400" w:hanging="400"/>
      </w:pPr>
      <w:r>
        <w:rPr>
          <w:color w:val="222222"/>
          <w:sz w:val="20"/>
          <w:szCs w:val="20"/>
        </w:rPr>
        <w:t xml:space="preserve">5.3. Il Coordinatore si impegna a menzionare il Collaboratore quale autore dei contenuti, salvo diversa e motivata esigenza editoriale.</w:t>
      </w:r>
    </w:p>
    <w:p>
      <w:pPr>
        <w:spacing w:after="70" w:before="170"/>
      </w:pPr>
      <w:r>
        <w:rPr>
          <w:b/>
          <w:bCs/>
          <w:color w:val="172837"/>
          <w:sz w:val="24"/>
          <w:szCs w:val="24"/>
        </w:rPr>
        <w:t xml:space="preserve">Art. 6 — Obblighi del Collaboratore in materia di protezione dei dati personali (GDPR) e flusso operativo</w:t>
      </w:r>
    </w:p>
    <w:p>
      <w:pPr>
        <w:spacing w:after="40" w:before="110"/>
      </w:pPr>
      <w:r>
        <w:rPr>
          <w:b/>
          <w:bCs/>
          <w:color w:val="172837"/>
          <w:sz w:val="20"/>
          <w:szCs w:val="20"/>
        </w:rPr>
        <w:t xml:space="preserve">6.1 — Qualifica del Collaboratore</w:t>
      </w:r>
    </w:p>
    <w:p>
      <w:pPr>
        <w:spacing w:after="90"/>
      </w:pPr>
      <w:r>
        <w:rPr>
          <w:b w:val="false"/>
          <w:bCs w:val="false"/>
          <w:i w:val="false"/>
          <w:iCs w:val="false"/>
          <w:color w:val="222222"/>
          <w:sz w:val="20"/>
          <w:szCs w:val="20"/>
        </w:rPr>
        <w:t xml:space="preserve">Il Collaboratore, nella realizzazione delle interviste e dei contenuti, opera in qualità di persona autorizzata al trattamento ai sensi dell'art. 29 del Regolamento (UE) 2016/679 (GDPR) e dell'art. 2-quaterdecies del D.Lgs. 196/2003 e s.m.i. (Codice Privacy), sotto l'autorità e le istruzioni documentate del Titolare del trattamento (Coordinatore). Il Collaboratore non ha autonomia decisionale sulle finalità e sui mezzi del trattamento, e </w:t>
      </w:r>
      <w:r>
        <w:rPr>
          <w:b/>
          <w:bCs/>
          <w:i w:val="false"/>
          <w:iCs w:val="false"/>
          <w:color w:val="222222"/>
          <w:sz w:val="20"/>
          <w:szCs w:val="20"/>
        </w:rPr>
        <w:t xml:space="preserve">si attiene strettamente alle istruzioni operative fornite dal Titolare del trattamento e dalle disposizioni del Protocollo Operativo relative al trattamento dei dati personali.</w:t>
      </w:r>
      <w:r>
        <w:rPr>
          <w:b w:val="false"/>
          <w:bCs w:val="false"/>
          <w:i w:val="false"/>
          <w:iCs w:val="false"/>
          <w:color w:val="222222"/>
          <w:sz w:val="20"/>
          <w:szCs w:val="20"/>
        </w:rPr>
        <w:t xml:space="preserve"> Tale autorità riguarda esclusivamente il trattamento dei dati personali di terzi e non si estende alle modalità di esecuzione dell'attività editoriale del Collaboratore, disciplinate dall'Art. 1.</w:t>
      </w:r>
    </w:p>
    <w:p>
      <w:pPr>
        <w:spacing w:after="40" w:before="110"/>
      </w:pPr>
      <w:r>
        <w:rPr>
          <w:b/>
          <w:bCs/>
          <w:color w:val="172837"/>
          <w:sz w:val="20"/>
          <w:szCs w:val="20"/>
        </w:rPr>
        <w:t xml:space="preserve">6.2 — Modalità di raccolta del consenso e trattamento dei dati</w:t>
      </w:r>
    </w:p>
    <w:p>
      <w:pPr>
        <w:spacing w:after="90"/>
      </w:pPr>
      <w:r>
        <w:rPr>
          <w:color w:val="222222"/>
          <w:sz w:val="20"/>
          <w:szCs w:val="20"/>
        </w:rPr>
        <w:t xml:space="preserve">Il Collaboratore si impegna a:</w:t>
      </w:r>
    </w:p>
    <w:p>
      <w:pPr>
        <w:pStyle w:val="ListParagraph"/>
        <w:numPr>
          <w:ilvl w:val="0"/>
          <w:numId w:val="2"/>
        </w:numPr>
        <w:spacing w:after="50"/>
      </w:pPr>
      <w:r>
        <w:rPr>
          <w:color w:val="222222"/>
          <w:sz w:val="20"/>
          <w:szCs w:val="20"/>
        </w:rPr>
        <w:t xml:space="preserve">registrare, prima di ogni intervista che coinvolga una persona esterna (intervistato, professore, passante, professionista), un video di dichiarazione a sé stante in cui la persona dichiara nome, cognome, recapito (email o PEC) e le domande specifiche a cui sta per rispondere — le stesse che risulteranno nello script consegnato — secondo le modalità descritte nel Protocollo Operativo (Art. 4.1);</w:t>
      </w:r>
    </w:p>
    <w:p>
      <w:pPr>
        <w:pStyle w:val="ListParagraph"/>
        <w:numPr>
          <w:ilvl w:val="0"/>
          <w:numId w:val="2"/>
        </w:numPr>
        <w:spacing w:after="50"/>
      </w:pPr>
      <w:r>
        <w:rPr>
          <w:color w:val="222222"/>
          <w:sz w:val="20"/>
          <w:szCs w:val="20"/>
        </w:rPr>
        <w:t xml:space="preserve">inserire immediatamente tale recapito nel gestionale del Progetto, che provvede in autonomia all'invio della liberatoria, alla raccolta della firma digitale e alla conservazione del documento, secondo le modalità descritte nel Protocollo Operativo;</w:t>
      </w:r>
    </w:p>
    <w:p>
      <w:pPr>
        <w:pStyle w:val="ListParagraph"/>
        <w:numPr>
          <w:ilvl w:val="0"/>
          <w:numId w:val="2"/>
        </w:numPr>
        <w:spacing w:after="50"/>
      </w:pPr>
      <w:r>
        <w:rPr>
          <w:color w:val="222222"/>
          <w:sz w:val="20"/>
          <w:szCs w:val="20"/>
        </w:rPr>
        <w:t xml:space="preserve">non raccogliere, non custodire e non trasmettere alcun documento cartaceo relativo alla liberatoria o all'informativa, in nessuna circostanza. Il trattamento dei dati dei soggetti intervistati avviene sempre ed esclusivamente per via digitale tramite il gestionale;</w:t>
      </w:r>
    </w:p>
    <w:p>
      <w:pPr>
        <w:pStyle w:val="ListParagraph"/>
        <w:numPr>
          <w:ilvl w:val="0"/>
          <w:numId w:val="2"/>
        </w:numPr>
        <w:spacing w:after="50"/>
      </w:pPr>
      <w:r>
        <w:rPr>
          <w:b/>
          <w:bCs/>
          <w:color w:val="222222"/>
          <w:sz w:val="20"/>
          <w:szCs w:val="20"/>
        </w:rPr>
        <w:t xml:space="preserve">prendere atto che il video di dichiarazione non viene mai incluso nel contenuto pubblicato: resta un elemento separato del pacchetto da sigillare, non pubblicato, con accesso riservato a chi lo ha caricato e al Coordinatore, quale prova della dichiarazione di consenso resa dall'intervistato ai sensi degli artt. 5(2) e 7(1) GDPR (onere della prova del consenso in capo al Titolare). L'eventuale pubblicazione dell'immagine e della voce dell'intervistato non include mai il recapito dichiarato.</w:t>
      </w:r>
    </w:p>
    <w:p>
      <w:pPr>
        <w:pStyle w:val="ListParagraph"/>
        <w:numPr>
          <w:ilvl w:val="0"/>
          <w:numId w:val="2"/>
        </w:numPr>
        <w:spacing w:after="50"/>
      </w:pPr>
      <w:r>
        <w:rPr>
          <w:b/>
          <w:bCs/>
          <w:color w:val="222222"/>
          <w:sz w:val="20"/>
          <w:szCs w:val="20"/>
        </w:rPr>
        <w:t>qualora durante l'intervista emerga la necessità di porre una domanda non dichiarata nel video iniziale, integrare la dichiarazione con un nuovo video che includa anche la domanda aggiuntiva prima del sigillo del pacchetto: le risposte a domande non coperte da alcuna dichiarazione di consenso non possono essere utilizzate né incluse nel contenuto pubblicato, secondo le modalità descritte nel Protocollo Operativo (Art. 4.1).</w:t>
      </w:r>
    </w:p>
    <w:p>
      <w:pPr>
        <w:spacing w:after="40" w:before="110"/>
      </w:pPr>
      <w:r>
        <w:rPr>
          <w:b/>
          <w:bCs/>
          <w:color w:val="172837"/>
          <w:sz w:val="20"/>
          <w:szCs w:val="20"/>
        </w:rPr>
        <w:t xml:space="preserve">6.3 — Custodia e trasmissione del materiale grezzo</w:t>
      </w:r>
    </w:p>
    <w:p>
      <w:pPr>
        <w:spacing w:after="90"/>
      </w:pPr>
      <w:r>
        <w:rPr>
          <w:color w:val="222222"/>
          <w:sz w:val="20"/>
          <w:szCs w:val="20"/>
        </w:rPr>
        <w:t xml:space="preserve">Il Collaboratore che effettua la ripresa è l'unico soggetto autorizzato a custodire il materiale grezzo (file video, audio, fotografie) prima del caricamento sul gestionale, e si impegna a:</w:t>
      </w:r>
    </w:p>
    <w:p>
      <w:pPr>
        <w:pStyle w:val="ListParagraph"/>
        <w:numPr>
          <w:ilvl w:val="0"/>
          <w:numId w:val="2"/>
        </w:numPr>
        <w:spacing w:after="50"/>
      </w:pPr>
      <w:r>
        <w:rPr>
          <w:color w:val="222222"/>
          <w:sz w:val="20"/>
          <w:szCs w:val="20"/>
        </w:rPr>
        <w:t xml:space="preserve">caricare il materiale entro 48-72 ore dalla ripresa, personalmente e direttamente sul gestionale, tramite le modalità indicate dal Coordinatore;</w:t>
      </w:r>
    </w:p>
    <w:p>
      <w:pPr>
        <w:pStyle w:val="ListParagraph"/>
        <w:numPr>
          <w:ilvl w:val="0"/>
          <w:numId w:val="2"/>
        </w:numPr>
        <w:spacing w:after="50"/>
      </w:pPr>
      <w:r>
        <w:rPr>
          <w:color w:val="222222"/>
          <w:sz w:val="20"/>
          <w:szCs w:val="20"/>
        </w:rPr>
        <w:t xml:space="preserve">non condividerlo con altri Collaboratori o terzi al di fuori del caricamento diretto sul gestionale;</w:t>
      </w:r>
    </w:p>
    <w:p>
      <w:pPr>
        <w:pStyle w:val="ListParagraph"/>
        <w:numPr>
          <w:ilvl w:val="0"/>
          <w:numId w:val="2"/>
        </w:numPr>
        <w:spacing w:after="50"/>
      </w:pPr>
      <w:r>
        <w:rPr>
          <w:b/>
          <w:bCs/>
          <w:color w:val="222222"/>
          <w:sz w:val="20"/>
          <w:szCs w:val="20"/>
        </w:rPr>
        <w:t>cancellare la copia locale (dal telefono, tablet, scheda SD, etc.) subito dopo la conferma di avvenuto caricamento sul gestionale, e comunque entro 48 (quarantotto) ore dalla ricezione della conferma di caricamento da parte del gestionale;</w:t>
      </w:r>
    </w:p>
    <w:p>
      <w:pPr>
        <w:pStyle w:val="ListParagraph"/>
        <w:numPr>
          <w:ilvl w:val="0"/>
          <w:numId w:val="2"/>
        </w:numPr>
        <w:spacing w:after="50"/>
      </w:pPr>
      <w:r>
        <w:rPr>
          <w:color w:val="222222"/>
          <w:sz w:val="20"/>
          <w:szCs w:val="20"/>
        </w:rPr>
        <w:t xml:space="preserve">mantenere il proprio dispositivo (telefono, tablet, videocamera) protetto da blocco schermo/PIN e, ove tecnicamente possibile, da crittografia del volume.</w:t>
      </w:r>
    </w:p>
    <w:p>
      <w:pPr>
        <w:spacing w:after="90"/>
      </w:pPr>
      <w:r>
        <w:rPr>
          <w:color w:val="222222"/>
          <w:sz w:val="20"/>
          <w:szCs w:val="20"/>
        </w:rPr>
        <w:t xml:space="preserve">Il Collaboratore si impegna inoltre a non conservare, sui propri dispositivi personali, copie dei recapiti o dei dati dell'intervistato oltre il tempo strettamente necessario a inserirli nel gestionale.</w:t>
      </w:r>
    </w:p>
    <w:p>
      <w:pPr>
        <w:spacing w:after="40" w:before="110"/>
      </w:pPr>
      <w:r>
        <w:rPr>
          <w:b/>
          <w:bCs/>
          <w:color w:val="172837"/>
          <w:sz w:val="20"/>
          <w:szCs w:val="20"/>
        </w:rPr>
        <w:t xml:space="preserve">6.4 — Comunicazione delle violazioni dei dati personali</w:t>
      </w:r>
    </w:p>
    <w:p>
      <w:pPr>
        <w:spacing w:after="90"/>
      </w:pPr>
      <w:r>
        <w:rPr>
          <w:color w:val="222222"/>
          <w:sz w:val="20"/>
          <w:szCs w:val="20"/>
        </w:rPr>
        <w:t xml:space="preserve">Il Collaboratore si impegna a comunicare al Coordinatore, senza indugio, qualsiasi violazione dei dati personali di cui venga a conoscenza nello svolgimento delle proprie attività.</w:t>
      </w:r>
    </w:p>
    <w:p>
      <w:pPr>
        <w:spacing w:after="40" w:before="110"/>
      </w:pPr>
      <w:r>
        <w:rPr>
          <w:b/>
          <w:bCs/>
          <w:color w:val="172837"/>
          <w:sz w:val="20"/>
          <w:szCs w:val="20"/>
        </w:rPr>
        <w:t xml:space="preserve">6.5 — Atto di nomina individuale</w:t>
      </w:r>
    </w:p>
    <w:p>
      <w:pPr>
        <w:spacing w:after="90"/>
      </w:pPr>
      <w:r>
        <w:rPr>
          <w:color w:val="222222"/>
          <w:sz w:val="20"/>
          <w:szCs w:val="20"/>
        </w:rPr>
        <w:t xml:space="preserve">Il Collaboratore prende atto che la sua qualifica di persona autorizzata al trattamento viene formalizzata dal Titolare mediante il Modulo di nomina individuale (Documento 4), generato automaticamente dal gestionale all'esito dell'approvazione del presente Accordo da parte del Titolare, e reso disponibile al Collaboratore per sua conoscenza e conservazione.</w:t>
      </w:r>
    </w:p>
    <w:p>
      <w:pPr>
        <w:spacing w:after="70" w:before="170"/>
      </w:pPr>
      <w:r>
        <w:rPr>
          <w:b/>
          <w:bCs/>
          <w:color w:val="172837"/>
          <w:sz w:val="24"/>
          <w:szCs w:val="24"/>
        </w:rPr>
        <w:t xml:space="preserve">Art. 7 — Trattamento dei dati personali del Collaboratore quale soggetto ripreso nei contenuti</w:t>
      </w:r>
    </w:p>
    <w:p>
      <w:pPr>
        <w:spacing w:after="70"/>
        <w:ind w:left="400" w:hanging="400"/>
      </w:pPr>
      <w:r>
        <w:rPr>
          <w:color w:val="222222"/>
          <w:sz w:val="20"/>
          <w:szCs w:val="20"/>
        </w:rPr>
        <w:t xml:space="preserve">7.1. Qualora il Collaboratore compaia egli stesso, con la propria immagine, voce e/o nome, nei contenuti realizzati nell'ambito del Progetto, i suoi dati personali sono trattati per le medesime finalità editoriali di cui all'Art. 1. La base giuridica è il consenso esplicito prestato con la sottoscrizione del presente Accordo, che vale quale liberatoria per la registrazione, riproduzione, distribuzione, comunicazione al pubblico e diffusione della propria immagine, voce e dichiarazioni sui medesimi canali di cui all'Art. 1.1.</w:t>
      </w:r>
    </w:p>
    <w:p>
      <w:pPr>
        <w:spacing w:after="70"/>
        <w:ind w:left="400" w:hanging="400"/>
      </w:pPr>
      <w:r>
        <w:rPr>
          <w:color w:val="222222"/>
          <w:sz w:val="20"/>
          <w:szCs w:val="20"/>
        </w:rPr>
        <w:t xml:space="preserve">7.2. Il Collaboratore, con la sottoscrizione del presente Accordo, prende atto ed acconsente specificamente che, in quanto soggetto ripreso nei contenuti:</w:t>
      </w:r>
    </w:p>
    <w:p>
      <w:pPr>
        <w:pStyle w:val="ListParagraph"/>
        <w:numPr>
          <w:ilvl w:val="0"/>
          <w:numId w:val="2"/>
        </w:numPr>
        <w:spacing w:after="50"/>
      </w:pPr>
      <w:r>
        <w:rPr>
          <w:color w:val="222222"/>
          <w:sz w:val="20"/>
          <w:szCs w:val="20"/>
        </w:rPr>
        <w:t xml:space="preserve">i contenuti che lo ritraggono potranno essere registrati, riprodotti, distribuiti, comunicati al pubblico e diffusi sui canali del Progetto di cui all'Art. 1.1;</w:t>
      </w:r>
    </w:p>
    <w:p>
      <w:pPr>
        <w:pStyle w:val="ListParagraph"/>
        <w:numPr>
          <w:ilvl w:val="0"/>
          <w:numId w:val="2"/>
        </w:numPr>
        <w:spacing w:after="50"/>
      </w:pPr>
      <w:r>
        <w:rPr>
          <w:color w:val="222222"/>
          <w:sz w:val="20"/>
          <w:szCs w:val="20"/>
        </w:rPr>
        <w:t xml:space="preserve">i contenuti potranno essere modificati, montati, adattati e integrati con altri materiali, nel rispetto della finalità editoriale del Progetto;</w:t>
      </w:r>
    </w:p>
    <w:p>
      <w:pPr>
        <w:pStyle w:val="ListParagraph"/>
        <w:numPr>
          <w:ilvl w:val="0"/>
          <w:numId w:val="2"/>
        </w:numPr>
        <w:spacing w:after="50"/>
      </w:pPr>
      <w:r>
        <w:rPr>
          <w:color w:val="222222"/>
          <w:sz w:val="20"/>
          <w:szCs w:val="20"/>
        </w:rPr>
        <w:t xml:space="preserve">non è previsto alcun compenso o rimborso spese, né un diritto di controllo preventivo sui contenuti editati;</w:t>
      </w:r>
    </w:p>
    <w:p>
      <w:pPr>
        <w:pStyle w:val="ListParagraph"/>
        <w:numPr>
          <w:ilvl w:val="0"/>
          <w:numId w:val="2"/>
        </w:numPr>
        <w:spacing w:after="50"/>
      </w:pPr>
      <w:r>
        <w:rPr>
          <w:b/>
          <w:bCs/>
          <w:color w:val="222222"/>
          <w:sz w:val="20"/>
          <w:szCs w:val="20"/>
        </w:rPr>
        <w:t xml:space="preserve">le dichiarazioni rese nei contenuti sono di esclusiva responsabilità di chi le rende: il Collaboratore dichiara che le proprie dichiarazioni sono veritiere, accurate e non diffamatorie nei confronti di terzi, e si impegna a manlevare e tenere indenne il Progetto da qualsiasi pretesa di terzi al riguardo, fatta salva l'ipotesi di montaggio palesemente manipolatorio da parte del Progetto che ne stravolga il senso.</w:t>
      </w:r>
    </w:p>
    <w:p>
      <w:pPr>
        <w:spacing w:after="90"/>
      </w:pPr>
      <w:r>
        <w:rPr>
          <w:color w:val="222222"/>
          <w:sz w:val="20"/>
          <w:szCs w:val="20"/>
        </w:rPr>
        <w:t xml:space="preserve">Il Collaboratore prende inoltre atto di aver ricevuto per esteso l'informativa sul trattamento dei propri dati personali quale soggetto ripreso — la cui versione integrale, sempre consultabile, resta pubblicata nell'Informativa privacy del gestionale, sezione "Consenso per chi appare nei contenuti" — ivi inclusi i diritti dell'interessato di cui agli artt. 15-22 GDPR.</w:t>
      </w:r>
    </w:p>
    <w:p>
      <w:pPr>
        <w:spacing w:after="70"/>
        <w:ind w:left="400" w:hanging="400"/>
      </w:pPr>
      <w:r>
        <w:rPr>
          <w:color w:val="222222"/>
          <w:sz w:val="20"/>
          <w:szCs w:val="20"/>
        </w:rPr>
        <w:t>7.3. Il Collaboratore dichiara di essere consapevole che, qualora la sua partecipazione al Progetto termini, la revoca del consenso al trattamento della propria immagine e voce comporta l'individuazione e la cancellazione dei materiali video/audio grezzi che lo ritraggono, secondo la procedura descritta al successivo Art. 7.4, fermo restando quanto già pubblicato conformemente all'art. 17, par. 3, lett. a) del GDPR.</w:t>
      </w:r>
    </w:p>
    <w:p>
      <w:pPr>
        <w:spacing w:after="70"/>
        <w:ind w:left="400" w:hanging="400"/>
      </w:pPr>
      <w:r>
        <w:rPr>
          <w:color w:val="222222"/>
          <w:sz w:val="20"/>
          <w:szCs w:val="20"/>
        </w:rPr>
        <w:t xml:space="preserve">7.4. Il materiale grezzo non pubblicato che ritrae il Collaboratore viene individuato ed eliminato manualmente dal Coordinatore entro 30 (trenta) giorni dalla revoca (o dalla cessazione della collaborazione). </w:t>
      </w:r>
      <w:r>
        <w:rPr>
          <w:b/>
          <w:color w:val="222222"/>
          <w:sz w:val="20"/>
        </w:rPr>
        <w:t>La cancellazione non è, e non può essere, automatica: il gestionale registra chi ha caricato un file, non chi vi compare. Uno stesso file può ritrarre più persone contemporaneamente — un Collaboratore che ha caricato un girato può comparire in esso insieme a un altro Collaboratore che non ha revocato alcun consenso. Una cancellazione automatica basata su chi ha caricato il file rischierebbe di eliminare anche materiale che riguarda terzi che non hanno chiesto nulla. Per questo l'individuazione dei file da eliminare è sempre una verifica umana del Coordinatore, non un'azione automatica del sistema.</w:t>
      </w:r>
    </w:p>
    <w:p>
      <w:pPr>
        <w:spacing w:after="70" w:before="170"/>
      </w:pPr>
      <w:r>
        <w:rPr>
          <w:b/>
          <w:bCs/>
          <w:color w:val="172837"/>
          <w:sz w:val="24"/>
          <w:szCs w:val="24"/>
        </w:rPr>
        <w:t xml:space="preserve">Art. 8 — Pubblicazione, revoca del consenso e rimozione dei contenuti</w:t>
      </w:r>
    </w:p>
    <w:p>
      <w:pPr>
        <w:spacing w:after="70"/>
        <w:ind w:left="400" w:hanging="400"/>
      </w:pPr>
      <w:r>
        <w:rPr>
          <w:color w:val="222222"/>
          <w:sz w:val="20"/>
          <w:szCs w:val="20"/>
        </w:rPr>
        <w:t xml:space="preserve">8.1. Revoca del consenso: il Collaboratore riconosce che il consenso al trattamento dei propri dati personali (immagine, voce, nome) è sempre revocabile in qualsiasi momento, senza obbligo di indicarne il motivo, mediante l'apposita funzione di revoca disponibile nel proprio profilo del gestionale — che costituisce comunicazione scritta a tutti gli effetti e ne conserva traccia con data e ora — oppure, in alternativa, mediante comunicazione scritta diretta al Coordinatore. La revoca del consenso non pregiudica la liceità del trattamento basata sul consenso prima della revoca.</w:t>
      </w:r>
    </w:p>
    <w:p>
      <w:pPr>
        <w:spacing w:after="90"/>
        <w:ind w:left="400" w:hanging="400"/>
      </w:pPr>
      <w:r>
        <w:rPr>
          <w:b w:val="false"/>
          <w:bCs w:val="false"/>
          <w:i w:val="false"/>
          <w:iCs w:val="false"/>
          <w:color w:val="222222"/>
          <w:sz w:val="20"/>
          <w:szCs w:val="20"/>
        </w:rPr>
        <w:t xml:space="preserve">8.2. Effetti della revoca: dalla ricezione della revoca, il Coordinatore cessa di utilizzare l'immagine, la voce e le dichiarazioni del Collaboratore per la realizzazione e la pubblicazione di nuovi contenuti. Il materiale grezzo non pubblicato viene individuato ed eliminato secondo la procedura di cui agli artt. 7.3 e 7.4, senza necessità di ulteriore richiesta da parte del Collaboratore — ma sempre a seguito di verifica manuale del Coordinatore, mai in automatico (Art. 7.4). </w:t>
      </w:r>
      <w:r>
        <w:rPr>
          <w:b/>
          <w:bCs/>
          <w:i w:val="false"/>
          <w:iCs w:val="false"/>
          <w:color w:val="222222"/>
          <w:sz w:val="20"/>
          <w:szCs w:val="20"/>
        </w:rPr>
        <w:t xml:space="preserve">La revoca non comporta invece, di per sé, la rimozione dei contenuti già pubblicati alla data della revoca: il Coordinatore ne dà atto al Collaboratore entro 30 (trenta) giorni dalla ricezione della revoca, informandolo della facoltà di chiederne la rimozione ai sensi dell'Art. 8.3. Qualora la comunicazione di revoca contenga essa stessa, anche implicitamente, una richiesta di rimozione dei contenuti già pubblicati, il Coordinatore avvia comunque la valutazione di cui all'Art. 8.3, senza attendere un'ulteriore richiesta separata.</w:t>
      </w:r>
    </w:p>
    <w:p>
      <w:pPr>
        <w:spacing w:after="90"/>
        <w:ind w:left="400" w:hanging="400"/>
      </w:pPr>
      <w:r>
        <w:rPr>
          <w:b w:val="false"/>
          <w:bCs w:val="false"/>
          <w:i w:val="false"/>
          <w:iCs w:val="false"/>
          <w:color w:val="222222"/>
          <w:sz w:val="20"/>
          <w:szCs w:val="20"/>
        </w:rPr>
        <w:t xml:space="preserve">8.3. Richiesta di rimozione di un contenuto già pubblicato: il Collaboratore, consapevole dell'impegno editoriale e organizzativo del Progetto, riconosce che la richiesta di rimozione di un contenuto già pubblicato è valutata caso per caso, alla luce delle finalità editoriali del Progetto e delle eccezioni previste dall'art. 17, par. 3, lett. a) del GDPR (libertà di espressione e informazione). </w:t>
      </w:r>
      <w:r>
        <w:rPr>
          <w:b/>
          <w:bCs/>
          <w:i w:val="false"/>
          <w:iCs w:val="false"/>
          <w:color w:val="222222"/>
          <w:sz w:val="20"/>
          <w:szCs w:val="20"/>
        </w:rPr>
        <w:t xml:space="preserve">Il Coordinatore, ricevuta la richiesta di rimozione, valuterà se ricorra una delle eccezioni di cui all'art. 17, par. 3, GDPR. In assenza di tali eccezioni, il Coordinatore provvederà alla rimozione o all'oscuramento (camuffamento di volto/voce) del contenuto entro 30 (trenta) giorni, dandone comunicazione all'interessato. Qualora ricorra un'eccezione, il Coordinatore fornirà risposta motivata entro lo stesso termine. Il termine di 30 giorni è prorogabile a 90 (novanta) giorni con motivazione scritta, in relazione alla complessità della valutazione.</w:t>
      </w:r>
    </w:p>
    <w:p>
      <w:pPr>
        <w:spacing w:after="70" w:before="170"/>
      </w:pPr>
      <w:r>
        <w:rPr>
          <w:b/>
          <w:bCs/>
          <w:color w:val="172837"/>
          <w:sz w:val="24"/>
          <w:szCs w:val="24"/>
        </w:rPr>
        <w:t xml:space="preserve">Art. 9 — Durata e risoluzione</w:t>
      </w:r>
    </w:p>
    <w:p>
      <w:pPr>
        <w:spacing w:after="90"/>
        <w:ind w:left="400" w:hanging="400"/>
      </w:pPr>
      <w:r>
        <w:rPr>
          <w:b/>
          <w:bCs/>
          <w:i w:val="false"/>
          <w:iCs w:val="false"/>
          <w:color w:val="222222"/>
          <w:sz w:val="20"/>
          <w:szCs w:val="20"/>
        </w:rPr>
        <w:t xml:space="preserve">9.1. Il presente accordo ha durata fissa di 6 (sei) mesi a decorrere dalla data di sottoscrizione, rinnovabile per ulteriori periodi di 6 mesi previo accordo scritto tra le parti. In assenza di tale accordo scritto, il rapporto si intende cessato alla naturale scadenza, senza necessità di alcuna comunicazione. Ciascuna Parte può inoltre interrompere la collaborazione in qualsiasi momento, senza necessità di motivazione né di preavviso, mediante comunicazione al Coordinatore tramite l'apposita funzione del gestionale (che registra data e ora in modo inalterabile), PEC o email.</w:t>
      </w:r>
    </w:p>
    <w:p>
      <w:pPr>
        <w:spacing w:after="70"/>
        <w:ind w:left="400" w:hanging="400"/>
      </w:pPr>
      <w:r>
        <w:rPr>
          <w:color w:val="222222"/>
          <w:sz w:val="20"/>
          <w:szCs w:val="20"/>
        </w:rPr>
        <w:t xml:space="preserve">9.2. In caso di recesso, il Collaboratore si impegna a collaborare, per quanto ragionevolmente possibile, a una transizione ordinata dei contenuti in corso di realizzazione al momento del recesso.</w:t>
      </w:r>
    </w:p>
    <w:p>
      <w:pPr>
        <w:spacing w:after="70"/>
        <w:ind w:left="400" w:hanging="400"/>
      </w:pPr>
      <w:r>
        <w:rPr>
          <w:color w:val="222222"/>
          <w:sz w:val="20"/>
          <w:szCs w:val="20"/>
        </w:rPr>
        <w:t xml:space="preserve">9.3. Anche il Coordinatore può interrompere la collaborazione con un singolo Collaboratore in qualsiasi momento, con comunicazione scritta, senza necessità di indicare un inadempimento specifico.</w:t>
      </w:r>
    </w:p>
    <w:p>
      <w:pPr>
        <w:spacing w:after="70"/>
        <w:ind w:left="400" w:hanging="400"/>
      </w:pPr>
      <w:r>
        <w:rPr>
          <w:color w:val="222222"/>
          <w:sz w:val="20"/>
          <w:szCs w:val="20"/>
        </w:rPr>
        <w:t>9.4. Alla scadenza naturale del termine di cui all'art. 9.1, o in caso di cessazione anticipata ai sensi del presente articolo, il Collaboratore procede alla cancellazione definitiva di qualsiasi copia locale dei materiali grezzi, dei recapiti e degli altri dati personali di terzi ancora in suo possesso, entro 48 (quarantotto) ore dalla data di cessazione, dandone comunicazione al Coordinatore.</w:t>
      </w:r>
    </w:p>
    <w:p>
      <w:pPr>
        <w:spacing w:after="70" w:before="170"/>
      </w:pPr>
      <w:r>
        <w:rPr>
          <w:b/>
          <w:bCs/>
          <w:color w:val="172837"/>
          <w:sz w:val="24"/>
          <w:szCs w:val="24"/>
        </w:rPr>
        <w:t xml:space="preserve">Art. 10 — Comunicazioni</w:t>
      </w:r>
    </w:p>
    <w:p>
      <w:pPr>
        <w:spacing w:after="70"/>
        <w:ind w:left="400" w:hanging="400"/>
      </w:pPr>
      <w:r>
        <w:rPr>
          <w:color w:val="222222"/>
          <w:sz w:val="20"/>
          <w:szCs w:val="20"/>
        </w:rPr>
        <w:t xml:space="preserve">10.1. Tutte le comunicazioni tra le parti relative al presente accordo (incluse le richieste di recesso, risoluzione, rettifica dei dati) potranno essere effettuate tramite la funzione del gestionale, tramite Posta Elettronica Certificata (PEC) o tramite posta elettronica ordinaria, secondo il recapito registrato da ciascuna parte presso il Progetto.</w:t>
      </w:r>
    </w:p>
    <w:p>
      <w:pPr>
        <w:spacing w:after="70"/>
        <w:ind w:left="400" w:hanging="400"/>
      </w:pPr>
      <w:r>
        <w:rPr>
          <w:color w:val="222222"/>
          <w:sz w:val="20"/>
          <w:szCs w:val="20"/>
        </w:rPr>
        <w:t xml:space="preserve">10.2. La PEC non è obbligatoria per il Collaboratore. Il Collaboratore può comunicare tramite il proprio indirizzo email personale; l'uso della PEC è facoltativo e riservato a chi intenda avvalersi della certificazione di consegna.</w:t>
      </w:r>
    </w:p>
    <w:p>
      <w:pPr>
        <w:spacing w:after="70" w:before="170"/>
      </w:pPr>
      <w:r>
        <w:rPr>
          <w:b/>
          <w:bCs/>
          <w:color w:val="172837"/>
          <w:sz w:val="24"/>
          <w:szCs w:val="24"/>
        </w:rPr>
        <w:t xml:space="preserve">Art. 11 — Responsabilità civile verso terzi</w:t>
      </w:r>
    </w:p>
    <w:p>
      <w:pPr>
        <w:spacing w:after="70"/>
        <w:ind w:left="400" w:hanging="400"/>
      </w:pPr>
      <w:r>
        <w:rPr>
          <w:color w:val="222222"/>
          <w:sz w:val="20"/>
          <w:szCs w:val="20"/>
        </w:rPr>
        <w:t xml:space="preserve">11.1. Il Collaboratore dichiara di essere consapevole che, nello svolgimento delle attività di ripresa e intervista, potrebbe entrare in contatto con terzi e beni, e si impegna a prestare la massima diligenza e cautela, conformemente all'art. 1176 del Codice Civile.</w:t>
      </w:r>
    </w:p>
    <w:p>
      <w:pPr>
        <w:spacing w:after="70"/>
        <w:ind w:left="400" w:hanging="400"/>
      </w:pPr>
      <w:r>
        <w:rPr>
          <w:color w:val="222222"/>
          <w:sz w:val="20"/>
          <w:szCs w:val="20"/>
        </w:rPr>
        <w:t xml:space="preserve">11.2. Il Progetto non risponde dei danni cagionati a terzi dal Collaboratore, fatti salvi i casi di colpa grave o dolo del Coordinatore. Il Collaboratore si obbliga a tenere indenne e manlevare il Progetto da eventuali pretese risarcitorie avanzate da terzi per fatti a lui imputabili nello svolgimento delle attività di cui al presente accordo.</w:t>
      </w:r>
    </w:p>
    <w:p>
      <w:pPr>
        <w:spacing w:after="70"/>
        <w:ind w:left="400" w:hanging="400"/>
      </w:pPr>
      <w:r>
        <w:rPr>
          <w:color w:val="222222"/>
          <w:sz w:val="20"/>
          <w:szCs w:val="20"/>
        </w:rPr>
        <w:t xml:space="preserve">11.3. Il Collaboratore è consapevole che il Progetto non fornisce copertura assicurativa per la responsabilità civile verso terzi, e che eventuali sinistri occorsi durante le attività di ripresa restano di esclusiva responsabilità del Collaboratore stesso.</w:t>
      </w:r>
    </w:p>
    <w:p>
      <w:pPr>
        <w:spacing w:after="40" w:before="110"/>
      </w:pPr>
      <w:r>
        <w:rPr>
          <w:b/>
          <w:bCs/>
          <w:color w:val="172837"/>
          <w:sz w:val="20"/>
          <w:szCs w:val="20"/>
        </w:rPr>
        <w:t xml:space="preserve">DISPOSIZIONI A TUTELA DEL PROGETTO</w:t>
      </w:r>
    </w:p>
    <w:p>
      <w:pPr>
        <w:spacing w:after="70" w:before="170"/>
      </w:pPr>
      <w:r>
        <w:rPr>
          <w:b/>
          <w:bCs/>
          <w:color w:val="172837"/>
          <w:sz w:val="24"/>
          <w:szCs w:val="24"/>
        </w:rPr>
        <w:t xml:space="preserve">Art. 12 — Marchio, denominazione e materiali del Progetto</w:t>
      </w:r>
    </w:p>
    <w:p>
      <w:pPr>
        <w:spacing w:after="70"/>
        <w:ind w:left="400" w:hanging="400"/>
      </w:pPr>
      <w:r>
        <w:rPr>
          <w:color w:val="222222"/>
          <w:sz w:val="20"/>
          <w:szCs w:val="20"/>
        </w:rPr>
        <w:t xml:space="preserve">12.1. Il presente accordo non attribuisce al Collaboratore alcun diritto di proprietà o di uso esclusivo sulla denominazione "</w:t>
      </w:r>
      <w:r>
        <w:rPr>
          <w:color w:val="222222"/>
          <w:sz w:val="20"/>
          <w:szCs w:val="20"/>
        </w:rPr>
        <w:t xml:space="preserve">Tooth Talk</w:t>
      </w:r>
      <w:r>
        <w:rPr>
          <w:color w:val="222222"/>
          <w:sz w:val="20"/>
          <w:szCs w:val="20"/>
          <w:vertAlign w:val="superscript"/>
        </w:rPr>
        <w:t xml:space="preserve">™</w:t>
      </w:r>
      <w:r>
        <w:rPr>
          <w:color w:val="222222"/>
          <w:sz w:val="20"/>
          <w:szCs w:val="20"/>
        </w:rPr>
        <w:t xml:space="preserve">", sul marchio figurativo registrato all'Ufficio Italiano Brevetti e Marchi al n. 302025000163999, sul marchio denominativo "</w:t>
      </w:r>
      <w:r>
        <w:rPr>
          <w:color w:val="222222"/>
          <w:sz w:val="20"/>
          <w:szCs w:val="20"/>
        </w:rPr>
        <w:t xml:space="preserve">Tooth Talk</w:t>
      </w:r>
      <w:r>
        <w:rPr>
          <w:color w:val="222222"/>
          <w:sz w:val="20"/>
          <w:szCs w:val="20"/>
          <w:vertAlign w:val="superscript"/>
        </w:rPr>
        <w:t xml:space="preserve">™</w:t>
      </w:r>
      <w:r>
        <w:rPr>
          <w:color w:val="222222"/>
          <w:sz w:val="20"/>
          <w:szCs w:val="20"/>
        </w:rPr>
        <w:t xml:space="preserve">" (in corso di registrazione presso il medesimo Ufficio), sui format o sui canali del Progetto.</w:t>
      </w:r>
    </w:p>
    <w:p>
      <w:pPr>
        <w:spacing w:after="70"/>
        <w:ind w:left="400" w:hanging="400"/>
      </w:pPr>
      <w:r>
        <w:rPr>
          <w:color w:val="222222"/>
          <w:sz w:val="20"/>
          <w:szCs w:val="20"/>
        </w:rPr>
        <w:t xml:space="preserve">12.2. Senza autorizzazione scritta del Coordinatore, il Collaboratore non può:</w:t>
      </w:r>
    </w:p>
    <w:p>
      <w:pPr>
        <w:pStyle w:val="ListParagraph"/>
        <w:numPr>
          <w:ilvl w:val="0"/>
          <w:numId w:val="2"/>
        </w:numPr>
        <w:spacing w:after="50"/>
      </w:pPr>
      <w:r>
        <w:rPr>
          <w:color w:val="222222"/>
          <w:sz w:val="20"/>
          <w:szCs w:val="20"/>
        </w:rPr>
        <w:t xml:space="preserve">aprire profili o pagine utilizzando il nome o il logo "</w:t>
      </w:r>
      <w:r>
        <w:rPr>
          <w:color w:val="222222"/>
          <w:sz w:val="20"/>
          <w:szCs w:val="20"/>
        </w:rPr>
        <w:t xml:space="preserve">Tooth Talk</w:t>
      </w:r>
      <w:r>
        <w:rPr>
          <w:color w:val="222222"/>
          <w:sz w:val="20"/>
          <w:szCs w:val="20"/>
          <w:vertAlign w:val="superscript"/>
        </w:rPr>
        <w:t xml:space="preserve">™</w:t>
      </w:r>
      <w:r>
        <w:rPr>
          <w:color w:val="222222"/>
          <w:sz w:val="20"/>
          <w:szCs w:val="20"/>
        </w:rPr>
        <w:t xml:space="preserve">";</w:t>
      </w:r>
    </w:p>
    <w:p>
      <w:pPr>
        <w:pStyle w:val="ListParagraph"/>
        <w:numPr>
          <w:ilvl w:val="0"/>
          <w:numId w:val="2"/>
        </w:numPr>
        <w:spacing w:after="50"/>
      </w:pPr>
      <w:r>
        <w:rPr>
          <w:color w:val="222222"/>
          <w:sz w:val="20"/>
          <w:szCs w:val="20"/>
        </w:rPr>
        <w:t xml:space="preserve">registrare domini, marchi o segni simili o confondibili con quelli del Progetto;</w:t>
      </w:r>
    </w:p>
    <w:p>
      <w:pPr>
        <w:pStyle w:val="ListParagraph"/>
        <w:numPr>
          <w:ilvl w:val="0"/>
          <w:numId w:val="2"/>
        </w:numPr>
        <w:spacing w:after="50"/>
      </w:pPr>
      <w:r>
        <w:rPr>
          <w:color w:val="222222"/>
          <w:sz w:val="20"/>
          <w:szCs w:val="20"/>
        </w:rPr>
        <w:t xml:space="preserve">concedere a terzi l'uso dei materiali del Progetto;</w:t>
      </w:r>
    </w:p>
    <w:p>
      <w:pPr>
        <w:pStyle w:val="ListParagraph"/>
        <w:numPr>
          <w:ilvl w:val="0"/>
          <w:numId w:val="2"/>
        </w:numPr>
        <w:spacing w:after="50"/>
      </w:pPr>
      <w:r>
        <w:rPr>
          <w:color w:val="222222"/>
          <w:sz w:val="20"/>
          <w:szCs w:val="20"/>
        </w:rPr>
        <w:t xml:space="preserve">pubblicare autonomamente contenuti non ancora approvati secondo la procedura di sigillo di cui al Protocollo Operativo;</w:t>
      </w:r>
    </w:p>
    <w:p>
      <w:pPr>
        <w:pStyle w:val="ListParagraph"/>
        <w:numPr>
          <w:ilvl w:val="0"/>
          <w:numId w:val="2"/>
        </w:numPr>
        <w:spacing w:after="50"/>
      </w:pPr>
      <w:r>
        <w:rPr>
          <w:color w:val="222222"/>
          <w:sz w:val="20"/>
          <w:szCs w:val="20"/>
        </w:rPr>
        <w:t xml:space="preserve">condividere le proprie credenziali di accesso al gestionale.</w:t>
      </w:r>
    </w:p>
    <w:p>
      <w:pPr>
        <w:spacing w:after="70"/>
        <w:ind w:left="400" w:hanging="400"/>
      </w:pPr>
      <w:r>
        <w:rPr>
          <w:color w:val="222222"/>
          <w:sz w:val="20"/>
          <w:szCs w:val="20"/>
        </w:rPr>
        <w:t xml:space="preserve">12.3. Alla cessazione della collaborazione, gli eventuali accessi devono essere restituiti o revocati e i materiali riservati cancellati, secondo quanto previsto dal presente Accordo e dal Protocollo Operativo.</w:t>
      </w:r>
    </w:p>
    <w:p>
      <w:pPr>
        <w:spacing w:after="70" w:before="170"/>
      </w:pPr>
      <w:r>
        <w:rPr>
          <w:b/>
          <w:bCs/>
          <w:color w:val="172837"/>
          <w:sz w:val="24"/>
          <w:szCs w:val="24"/>
        </w:rPr>
        <w:t xml:space="preserve">Art. 13 — Riservatezza</w:t>
      </w:r>
    </w:p>
    <w:p>
      <w:pPr>
        <w:spacing w:after="70"/>
        <w:ind w:left="400" w:hanging="400"/>
      </w:pPr>
      <w:r>
        <w:rPr>
          <w:color w:val="222222"/>
          <w:sz w:val="20"/>
          <w:szCs w:val="20"/>
        </w:rPr>
        <w:t xml:space="preserve">13.1. Sono considerate informazioni riservate del Progetto, a titolo esemplificativo:</w:t>
      </w:r>
    </w:p>
    <w:p>
      <w:pPr>
        <w:pStyle w:val="ListParagraph"/>
        <w:numPr>
          <w:ilvl w:val="0"/>
          <w:numId w:val="2"/>
        </w:numPr>
        <w:spacing w:after="50"/>
      </w:pPr>
      <w:r>
        <w:rPr>
          <w:color w:val="222222"/>
          <w:sz w:val="20"/>
          <w:szCs w:val="20"/>
        </w:rPr>
        <w:t xml:space="preserve">copioni e contenuti non ancora pubblicati;</w:t>
      </w:r>
    </w:p>
    <w:p>
      <w:pPr>
        <w:pStyle w:val="ListParagraph"/>
        <w:numPr>
          <w:ilvl w:val="0"/>
          <w:numId w:val="2"/>
        </w:numPr>
        <w:spacing w:after="50"/>
      </w:pPr>
      <w:r>
        <w:rPr>
          <w:color w:val="222222"/>
          <w:sz w:val="20"/>
          <w:szCs w:val="20"/>
        </w:rPr>
        <w:t xml:space="preserve">format, template, procedure e metodi produttivi;</w:t>
      </w:r>
    </w:p>
    <w:p>
      <w:pPr>
        <w:pStyle w:val="ListParagraph"/>
        <w:numPr>
          <w:ilvl w:val="0"/>
          <w:numId w:val="2"/>
        </w:numPr>
        <w:spacing w:after="50"/>
      </w:pPr>
      <w:r>
        <w:rPr>
          <w:color w:val="222222"/>
          <w:sz w:val="20"/>
          <w:szCs w:val="20"/>
        </w:rPr>
        <w:t xml:space="preserve">credenziali, accessi e dati dei canali;</w:t>
      </w:r>
    </w:p>
    <w:p>
      <w:pPr>
        <w:pStyle w:val="ListParagraph"/>
        <w:numPr>
          <w:ilvl w:val="0"/>
          <w:numId w:val="2"/>
        </w:numPr>
        <w:spacing w:after="50"/>
      </w:pPr>
      <w:r>
        <w:rPr>
          <w:color w:val="222222"/>
          <w:sz w:val="20"/>
          <w:szCs w:val="20"/>
        </w:rPr>
        <w:t xml:space="preserve">statistiche, analisi e strategie editoriali;</w:t>
      </w:r>
    </w:p>
    <w:p>
      <w:pPr>
        <w:pStyle w:val="ListParagraph"/>
        <w:numPr>
          <w:ilvl w:val="0"/>
          <w:numId w:val="2"/>
        </w:numPr>
        <w:spacing w:after="50"/>
      </w:pPr>
      <w:r>
        <w:rPr>
          <w:color w:val="222222"/>
          <w:sz w:val="20"/>
          <w:szCs w:val="20"/>
        </w:rPr>
        <w:t xml:space="preserve">dati economici del Progetto;</w:t>
      </w:r>
    </w:p>
    <w:p>
      <w:pPr>
        <w:pStyle w:val="ListParagraph"/>
        <w:numPr>
          <w:ilvl w:val="0"/>
          <w:numId w:val="2"/>
        </w:numPr>
        <w:spacing w:after="50"/>
      </w:pPr>
      <w:r>
        <w:rPr>
          <w:color w:val="222222"/>
          <w:sz w:val="20"/>
          <w:szCs w:val="20"/>
        </w:rPr>
        <w:t xml:space="preserve">contatti di Collaboratori, professionisti e potenziali sponsor;</w:t>
      </w:r>
    </w:p>
    <w:p>
      <w:pPr>
        <w:pStyle w:val="ListParagraph"/>
        <w:numPr>
          <w:ilvl w:val="0"/>
          <w:numId w:val="2"/>
        </w:numPr>
        <w:spacing w:after="50"/>
      </w:pPr>
      <w:r>
        <w:rPr>
          <w:color w:val="222222"/>
          <w:sz w:val="20"/>
          <w:szCs w:val="20"/>
        </w:rPr>
        <w:t xml:space="preserve">informazioni personali o professionali ricevute nell'ambito della collaborazione.</w:t>
      </w:r>
    </w:p>
    <w:p>
      <w:pPr>
        <w:spacing w:after="70"/>
        <w:ind w:left="400" w:hanging="400"/>
      </w:pPr>
      <w:r>
        <w:rPr>
          <w:color w:val="222222"/>
          <w:sz w:val="20"/>
          <w:szCs w:val="20"/>
        </w:rPr>
        <w:t xml:space="preserve">13.2. Il Collaboratore si impegna a: utilizzare tali informazioni esclusivamente ai fini della collaborazione; non divulgarle né comunicarle a terzi; non copiarle né conservarle oltre quanto strettamente necessario; custodire con diligenza eventuali credenziali o materiali ricevuti; restituire o cancellare i materiali riservati alla cessazione della collaborazione.</w:t>
      </w:r>
    </w:p>
    <w:p>
      <w:pPr>
        <w:spacing w:after="70"/>
        <w:ind w:left="400" w:hanging="400"/>
      </w:pPr>
      <w:r>
        <w:rPr>
          <w:color w:val="222222"/>
          <w:sz w:val="20"/>
          <w:szCs w:val="20"/>
        </w:rPr>
        <w:t xml:space="preserve">13.3. Non sono considerate riservate le informazioni già di pubblico dominio, legittimamente note al Collaboratore prima della collaborazione, o che debbano essere divulgate in adempimento di un obbligo di legge.</w:t>
      </w:r>
    </w:p>
    <w:p>
      <w:pPr>
        <w:spacing w:after="70"/>
        <w:ind w:left="400" w:hanging="400"/>
      </w:pPr>
      <w:r>
        <w:rPr>
          <w:color w:val="222222"/>
          <w:sz w:val="20"/>
          <w:szCs w:val="20"/>
        </w:rPr>
        <w:t xml:space="preserve">13.4. L'obbligo di riservatezza permane per tre anni dalla cessazione della collaborazione; per le informazioni qualificabili come segreti commerciali, permane finché tali informazioni conservano carattere segreto.</w:t>
      </w:r>
    </w:p>
    <w:p>
      <w:pPr>
        <w:spacing w:after="70" w:before="170"/>
      </w:pPr>
      <w:r>
        <w:rPr>
          <w:b/>
          <w:bCs/>
          <w:color w:val="172837"/>
          <w:sz w:val="24"/>
          <w:szCs w:val="24"/>
        </w:rPr>
        <w:t xml:space="preserve">Art. 14 — Rappresentanza e limiti di autorità del Collaboratore</w:t>
      </w:r>
    </w:p>
    <w:p>
      <w:pPr>
        <w:spacing w:after="70"/>
        <w:ind w:left="400" w:hanging="400"/>
      </w:pPr>
      <w:r>
        <w:rPr>
          <w:color w:val="222222"/>
          <w:sz w:val="20"/>
          <w:szCs w:val="20"/>
        </w:rPr>
        <w:t xml:space="preserve">14.1. Il Collaboratore non può assumere obbligazioni, concludere contratti, contattare sponsor in nome del Coordinatore o del Progetto, né presentarsi come rappresentante ufficiale di "</w:t>
      </w:r>
      <w:r>
        <w:rPr>
          <w:color w:val="222222"/>
          <w:sz w:val="20"/>
          <w:szCs w:val="20"/>
        </w:rPr>
        <w:t xml:space="preserve">Tooth Talk</w:t>
      </w:r>
      <w:r>
        <w:rPr>
          <w:color w:val="222222"/>
          <w:sz w:val="20"/>
          <w:szCs w:val="20"/>
          <w:vertAlign w:val="superscript"/>
        </w:rPr>
        <w:t xml:space="preserve">™</w:t>
      </w:r>
      <w:r>
        <w:rPr>
          <w:color w:val="222222"/>
          <w:sz w:val="20"/>
          <w:szCs w:val="20"/>
        </w:rPr>
        <w:t xml:space="preserve">", senza preventiva autorizzazione scritta del Coordinatore.</w:t>
      </w:r>
    </w:p>
    <w:p>
      <w:pPr>
        <w:spacing w:after="70"/>
        <w:ind w:left="400" w:hanging="400"/>
      </w:pPr>
      <w:r>
        <w:rPr>
          <w:color w:val="222222"/>
          <w:sz w:val="20"/>
          <w:szCs w:val="20"/>
        </w:rPr>
        <w:t xml:space="preserve">14.2. L'eventuale indicazione di un ruolo o di un titolo organizzativo interno ha esclusivamente finalità descrittiva e non attribuisce poteri di rappresentanza, direzione o gestione del Progetto.</w:t>
      </w:r>
    </w:p>
    <w:p>
      <w:pPr>
        <w:spacing w:after="70" w:before="170"/>
      </w:pPr>
      <w:r>
        <w:rPr>
          <w:b/>
          <w:bCs/>
          <w:color w:val="172837"/>
          <w:sz w:val="24"/>
          <w:szCs w:val="24"/>
        </w:rPr>
        <w:t xml:space="preserve">Art. 15 — Modalità di sottoscrizione dell'Accordo</w:t>
      </w:r>
    </w:p>
    <w:p>
      <w:pPr>
        <w:spacing w:after="70"/>
        <w:ind w:left="400" w:hanging="400"/>
      </w:pPr>
      <w:r>
        <w:rPr>
          <w:color w:val="222222"/>
          <w:sz w:val="20"/>
          <w:szCs w:val="20"/>
        </w:rPr>
        <w:t xml:space="preserve">15.1. Il Collaboratore sottoscrive il presente Accordo con firma autografa e carica sul gestionale la copia del documento firmato, unitamente alla dichiarazione di lettura e accettazione integrale del testo.</w:t>
      </w:r>
    </w:p>
    <w:p>
      <w:pPr>
        <w:spacing w:after="70"/>
        <w:ind w:left="400" w:hanging="400"/>
      </w:pPr>
      <w:r>
        <w:rPr>
          <w:color w:val="222222"/>
          <w:sz w:val="20"/>
          <w:szCs w:val="20"/>
        </w:rPr>
        <w:t xml:space="preserve">15.2. Il gestionale calcola e conserva l'impronta digitale (hash) del documento caricato, ne verifica automaticamente la corrispondenza con il modello ufficiale, e ne registra data e ora di caricamento in un registro delle operazioni non modificabile. La sottoscrizione si perfeziona con l'approvazione del documento da parte del Coordinatore o di persona da questi autorizzata.</w:t>
      </w:r>
    </w:p>
    <w:p>
      <w:pPr>
        <w:spacing w:after="70"/>
        <w:ind w:left="400" w:hanging="400"/>
      </w:pPr>
      <w:r>
        <w:rPr>
          <w:color w:val="222222"/>
          <w:sz w:val="20"/>
          <w:szCs w:val="20"/>
        </w:rPr>
        <w:t xml:space="preserve">15.3. La conservazione digitale del documento firmato, unitamente all'impronta e al registro delle operazioni, soddisfa il requisito di forma scritta di cui all'art. 110 della Legge 22 aprile 1941, n. 633 (Legge sul diritto d'autore) per la prova della licenza dei diritti di cui all'Art. 4, e costituisce elemento di prova della sottoscrizione ai sensi dell'art. 20 del Codice dell'Amministrazione Digitale (CAD).</w:t>
      </w:r>
    </w:p>
    <w:p>
      <w:pPr>
        <w:spacing w:after="70" w:before="170"/>
      </w:pPr>
      <w:r>
        <w:rPr>
          <w:b/>
          <w:bCs/>
          <w:color w:val="172837"/>
          <w:sz w:val="24"/>
          <w:szCs w:val="24"/>
        </w:rPr>
        <w:t xml:space="preserve">Art. 16 — Modifiche all'Accordo</w:t>
      </w:r>
    </w:p>
    <w:p>
      <w:pPr>
        <w:spacing w:after="70"/>
        <w:ind w:left="400" w:hanging="400"/>
      </w:pPr>
      <w:r>
        <w:rPr>
          <w:color w:val="222222"/>
          <w:sz w:val="20"/>
          <w:szCs w:val="20"/>
        </w:rPr>
        <w:t xml:space="preserve">16.1. Qualsiasi modifica, integrazione o pattuizione aggiuntiva rispetto al presente Accordo è valida ed efficace esclusivamente se redatta per iscritto e sottoscritta da entrambe le Parti.</w:t>
      </w:r>
    </w:p>
    <w:p>
      <w:pPr>
        <w:spacing w:after="70" w:before="170"/>
      </w:pPr>
      <w:r>
        <w:rPr>
          <w:b/>
          <w:bCs/>
          <w:color w:val="172837"/>
          <w:sz w:val="24"/>
          <w:szCs w:val="24"/>
        </w:rPr>
        <w:t xml:space="preserve">Art. 17 — Legge applicabile e foro competente</w:t>
      </w:r>
    </w:p>
    <w:p>
      <w:pPr>
        <w:spacing w:after="70"/>
        <w:ind w:left="400" w:hanging="400"/>
      </w:pPr>
      <w:r>
        <w:rPr>
          <w:color w:val="222222"/>
          <w:sz w:val="20"/>
          <w:szCs w:val="20"/>
        </w:rPr>
        <w:t xml:space="preserve">17.1. Il presente accordo è regolato dalla legge italiana.</w:t>
      </w:r>
    </w:p>
    <w:p>
      <w:pPr>
        <w:spacing w:after="70"/>
        <w:ind w:left="400" w:hanging="400"/>
      </w:pPr>
      <w:r>
        <w:rPr>
          <w:color w:val="222222"/>
          <w:sz w:val="20"/>
          <w:szCs w:val="20"/>
        </w:rPr>
        <w:t xml:space="preserve">17.2. Per qualsiasi controversia relativa alla interpretazione, esecuzione o risoluzione del presente accordo, le parti convengono che sarà competente in via esclusiva il Foro di Genova.</w:t>
      </w:r>
    </w:p>
    <w:p>
      <w:pPr>
        <w:keepNext/>
        <w:spacing w:after="200" w:before="300"/>
      </w:pPr>
      <w:r>
        <w:rPr>
          <w:color w:val="222222"/>
          <w:sz w:val="20"/>
          <w:szCs w:val="20"/>
        </w:rPr>
        <w:t xml:space="preserve">Letto, confermato e sottoscritto.</w:t>
      </w:r>
    </w:p>
    <w:p>
      <w:pPr>
        <w:keepNext/>
        <w:spacing w:after="160"/>
      </w:pPr>
      <w:r>
        <w:rPr>
          <w:color w:val="222222"/>
          <w:sz w:val="20"/>
          <w:szCs w:val="20"/>
        </w:rPr>
        <w:t xml:space="preserve">Luogo e data: ________________________________</w:t>
      </w:r>
    </w:p>
    <w:p>
      <w:pPr>
        <w:keepNext/>
        <w:spacing w:after="160"/>
      </w:pPr>
      <w:r>
        <w:rPr>
          <w:color w:val="222222"/>
          <w:sz w:val="20"/>
          <w:szCs w:val="20"/>
        </w:rPr>
        <w:t xml:space="preserve">Il Collaboratore: ________________________________</w:t>
      </w:r>
    </w:p>
    <w:p>
      <w:pPr>
        <w:spacing w:after="160"/>
      </w:pPr>
      <w:r>
        <w:rPr>
          <w:color w:val="222222"/>
          <w:sz w:val="20"/>
          <w:szCs w:val="20"/>
        </w:rPr>
        <w:t xml:space="preserve">Il Coordinatore del Progetto "</w:t>
      </w:r>
      <w:r>
        <w:rPr>
          <w:color w:val="222222"/>
          <w:sz w:val="20"/>
          <w:szCs w:val="20"/>
        </w:rPr>
        <w:t xml:space="preserve">Tooth Talk</w:t>
      </w:r>
      <w:r>
        <w:rPr>
          <w:color w:val="222222"/>
          <w:sz w:val="20"/>
          <w:szCs w:val="20"/>
          <w:vertAlign w:val="superscript"/>
        </w:rPr>
        <w:t xml:space="preserve">™</w:t>
      </w:r>
      <w:r>
        <w:rPr>
          <w:color w:val="222222"/>
          <w:sz w:val="20"/>
          <w:szCs w:val="20"/>
        </w:rPr>
        <w:t xml:space="preserve">": ________________________________</w:t>
      </w:r>
    </w:p>
    <w:sectPr>
      <w:headerReference w:type="default" r:id="rId7"/>
      <w:footerReference w:type="default" r:id="rId8"/>
      <w:pgSz w:w="11906" w:h="16838" w:orient="portrait"/>
      <w:pgMar w:top="1900" w:right="1000" w:bottom="700" w:left="1000" w:header="200" w:footer="34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t xml:space="preserve">ToothTalk</w:t>
    </w:r>
    <w:r>
      <w:rPr>
        <w:color w:val="888888"/>
        <w:sz w:val="18"/>
        <w:szCs w:val="18"/>
        <w:vertAlign w:val="superscript"/>
      </w:rPr>
      <w:t xml:space="preserve">™</w:t>
    </w:r>
    <w:r>
      <w:rPr>
        <w:color w:val="888888"/>
        <w:sz w:val="18"/>
        <w:szCs w:val="18"/>
      </w:rPr>
      <w:t xml:space="preserve"> · pag. </w:t>
    </w:r>
    <w:r>
      <w:rPr>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60" w:before="750"/>
      <w:jc w:val="left"/>
    </w:pPr>
    <w:r>
      <w:drawing>
        <wp:inline distT="0" distB="0" distL="0" distR="0">
          <wp:extent cx="2047875" cy="47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047875" cy="476250"/>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oppins" w:cs="Poppins" w:eastAsia="Poppins" w:hAnsi="Poppins"/>
        <w:color w:val="222222"/>
        <w:sz w:val="20"/>
        <w:szCs w:val="20"/>
      </w:rPr>
    </w:rPrDefault>
    <w:pPrDefault>
      <w:pPr>
        <w:spacing w:line="24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0" Type="http://schemas.openxmlformats.org/officeDocument/2006/relationships/image" Target="media/bc50fd93cd54ac20f8424689f042d96e9d4346e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2026-08-22T10:11:35.740Z</dcterms:created>
  <dcterms:modified xsi:type="dcterms:W3CDTF">2026-08-22T10:11:35.741Z</dcterms:modified>
</cp:coreProperties>
</file>

<file path=docProps/custom.xml><?xml version="1.0" encoding="utf-8"?>
<Properties xmlns="http://schemas.openxmlformats.org/officeDocument/2006/custom-properties" xmlns:vt="http://schemas.openxmlformats.org/officeDocument/2006/docPropsVTypes"/>
</file>