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oppins" w:cs="Poppins" w:eastAsia="Poppins" w:hAnsi="Poppins"/>
          <w:b/>
          <w:bCs/>
          <w:color w:val="172837"/>
          <w:sz w:val="34"/>
          <w:szCs w:val="34"/>
        </w:rPr>
        <w:t xml:space="preserve">Documento di rinnovo</w:t>
      </w:r>
    </w:p>
    <w:p>
      <w:pPr>
        <w:spacing w:after="360"/>
      </w:pPr>
      <w:r>
        <w:rPr>
          <w:rFonts w:ascii="Poppins" w:cs="Poppins" w:eastAsia="Poppins" w:hAnsi="Poppins"/>
          <w:color w:val="6B7280"/>
          <w:sz w:val="18"/>
          <w:szCs w:val="18"/>
        </w:rPr>
        <w:t xml:space="preserve">Accordo per il Collaboratore Tecnico · Proroga di 6 mesi alle medesime condizioni</w:t>
      </w:r>
    </w:p>
    <w:p>
      <w:pPr>
        <w:spacing w:after="20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Il/La sottoscritto/a ________________________________, C.F. ________________________________, in qualità di Collaboratore Tecnico ai sensi dell’Accordo per il Collaboratore Tecnico sottoscritto in data ____________ con Enrico Maria Guarino, in qualità di titolare e coordinatore editoriale del progetto "Tooth Talk™" (di seguito "il Coordinatore" e "l’Accordo"),</w:t>
      </w:r>
    </w:p>
    <w:p>
      <w:pPr>
        <w:pBdr>
          <w:top w:val="single" w:color="D0D7DE" w:sz="6"/>
          <w:bottom w:val="single" w:color="D0D7DE" w:sz="6"/>
        </w:pBdr>
        <w:spacing w:after="240" w:before="60"/>
      </w:pPr>
      <w:r>
        <w:rPr>
          <w:rFonts w:ascii="Poppins" w:cs="Poppins" w:eastAsia="Poppins" w:hAnsi="Poppins"/>
          <w:b/>
          <w:bCs/>
          <w:color w:val="172837"/>
          <w:sz w:val="18"/>
          <w:szCs w:val="18"/>
        </w:rPr>
        <w:t xml:space="preserve">Impronta digitale (hash SHA-256) del documento dell’Accordo, come registrata dal gestionale al momento del caricamento originale: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________________________________________________________</w:t>
      </w:r>
    </w:p>
    <w:p>
      <w:pPr>
        <w:spacing w:after="200" w:before="100"/>
        <w:jc w:val="center"/>
      </w:pPr>
      <w:r>
        <w:rPr>
          <w:rFonts w:ascii="Poppins" w:cs="Poppins" w:eastAsia="Poppins" w:hAnsi="Poppins"/>
          <w:b/>
          <w:bCs/>
          <w:color w:val="172837"/>
          <w:sz w:val="22"/>
          <w:szCs w:val="22"/>
        </w:rPr>
        <w:t xml:space="preserve">DICHIARA</w:t>
      </w:r>
    </w:p>
    <w:p>
      <w:pPr>
        <w:spacing w:after="20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di richiedere il rinnovo dell’Accordo — identificato in modo univoco dall’impronta digitale sopra riportata, a evitare ogni possibile equivoco su quale testo sia oggetto del presente rinnovo — per un ulteriore periodo di 6 (sei) mesi, a decorrere dalla data di approvazione del presente documento da parte del Coordinatore, alle medesime condizioni e ai medesimi termini ivi previsti — che il presente documento non riproduce per esteso, ma che restano integralmente vigenti e vincolanti, quale mera proroga e non quale novazione ai sensi dell’art. 1230 del Codice Civile — ivi inclusi, in particolare:</w:t>
      </w:r>
    </w:p>
    <w:p>
      <w:pPr>
        <w:spacing w:after="70"/>
        <w:ind w:left="420" w:hanging="260"/>
      </w:pPr>
      <w:r>
        <w:rPr>
          <w:rFonts w:ascii="Poppins" w:cs="Poppins" w:eastAsia="Poppins" w:hAnsi="Poppins"/>
          <w:color w:val="222222"/>
          <w:sz w:val="18"/>
          <w:szCs w:val="18"/>
        </w:rPr>
        <w:t xml:space="preserve">• 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i limiti di accesso ai sistemi di cui all’Art. 4 dell’Accordo, il cui perimetro effettivo resta quello documentato, di volta in volta, nell’Allegato 1, che il presente rinnovo non modifica automaticamente;</w:t>
      </w:r>
    </w:p>
    <w:p>
      <w:pPr>
        <w:spacing w:after="70"/>
        <w:ind w:left="420" w:hanging="260"/>
      </w:pPr>
      <w:r>
        <w:rPr>
          <w:rFonts w:ascii="Poppins" w:cs="Poppins" w:eastAsia="Poppins" w:hAnsi="Poppins"/>
          <w:color w:val="222222"/>
          <w:sz w:val="18"/>
          <w:szCs w:val="18"/>
        </w:rPr>
        <w:t xml:space="preserve">• 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la cessione al Coordinatore dei diritti di proprietà intellettuale sul codice e sulle automazioni realizzate, di cui all’Art. 5 dell’Accordo;</w:t>
      </w:r>
    </w:p>
    <w:p>
      <w:pPr>
        <w:spacing w:after="70"/>
        <w:ind w:left="420" w:hanging="260"/>
      </w:pPr>
      <w:r>
        <w:rPr>
          <w:rFonts w:ascii="Poppins" w:cs="Poppins" w:eastAsia="Poppins" w:hAnsi="Poppins"/>
          <w:color w:val="222222"/>
          <w:sz w:val="18"/>
          <w:szCs w:val="18"/>
        </w:rPr>
        <w:t xml:space="preserve">• 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gli obblighi di riservatezza di cui all’Art. 6 dell’Accordo;</w:t>
      </w:r>
    </w:p>
    <w:p>
      <w:pPr>
        <w:spacing w:after="70"/>
        <w:ind w:left="420" w:hanging="260"/>
      </w:pPr>
      <w:r>
        <w:rPr>
          <w:rFonts w:ascii="Poppins" w:cs="Poppins" w:eastAsia="Poppins" w:hAnsi="Poppins"/>
          <w:color w:val="222222"/>
          <w:sz w:val="18"/>
          <w:szCs w:val="18"/>
        </w:rPr>
        <w:t xml:space="preserve">• 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gli obblighi in materia di protezione dei dati personali (GDPR) di cui all’Art. 8 dell’Accordo;</w:t>
      </w:r>
    </w:p>
    <w:p>
      <w:pPr>
        <w:spacing w:after="70"/>
        <w:ind w:left="420" w:hanging="260"/>
      </w:pPr>
      <w:r>
        <w:rPr>
          <w:rFonts w:ascii="Poppins" w:cs="Poppins" w:eastAsia="Poppins" w:hAnsi="Poppins"/>
          <w:color w:val="222222"/>
          <w:sz w:val="18"/>
          <w:szCs w:val="18"/>
        </w:rPr>
        <w:t xml:space="preserve">• 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il divieto delle condotte di cui all’Art. 9 dell’Accordo e le relative conseguenze contrattuali e penali, ivi inclusa la penale di cui all’Art. 9.3 e la clausola risolutiva espressa di cui all’Art. 9.4;</w:t>
      </w:r>
    </w:p>
    <w:p>
      <w:pPr>
        <w:spacing w:after="70"/>
        <w:ind w:left="420" w:hanging="260"/>
      </w:pPr>
      <w:r>
        <w:rPr>
          <w:rFonts w:ascii="Poppins" w:cs="Poppins" w:eastAsia="Poppins" w:hAnsi="Poppins"/>
          <w:color w:val="222222"/>
          <w:sz w:val="18"/>
          <w:szCs w:val="18"/>
        </w:rPr>
        <w:t xml:space="preserve">•  </w:t>
      </w:r>
      <w:r>
        <w:rPr>
          <w:rFonts w:ascii="Poppins" w:cs="Poppins" w:eastAsia="Poppins" w:hAnsi="Poppins"/>
          <w:color w:val="222222"/>
          <w:sz w:val="18"/>
          <w:szCs w:val="18"/>
        </w:rPr>
        <w:t xml:space="preserve">il diritto di recesso libero di entrambe le parti e il diritto di revoca immediata degli accessi da parte del Coordinatore, di cui rispettivamente agli artt. 11.4 e 4.4 dell’Accordo.</w:t>
      </w:r>
    </w:p>
    <w:p>
      <w:pPr>
        <w:spacing w:after="20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Il presente documento di rinnovo si perfeziona con l’approvazione del Coordinatore, che ne dà comunicazione al Collaboratore Tecnico secondo le modalità previste dall’Art. 11.3 dell’Accordo.</w:t>
      </w:r>
    </w:p>
    <w:p>
      <w:pPr>
        <w:spacing w:after="160" w:before="30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Letto, confermato e sottoscritto.</w:t>
      </w:r>
    </w:p>
    <w:p>
      <w:pPr>
        <w:spacing w:after="20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Luogo e data: ________________________________</w:t>
      </w:r>
    </w:p>
    <w:p>
      <w:pPr>
        <w:spacing w:after="20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Il Collaboratore Tecnico: ________________________________</w:t>
      </w:r>
    </w:p>
    <w:p>
      <w:pPr>
        <w:spacing w:after="100" w:before="400"/>
      </w:pPr>
      <w:r>
        <w:rPr>
          <w:rFonts w:ascii="Poppins" w:cs="Poppins" w:eastAsia="Poppins" w:hAnsi="Poppins"/>
          <w:b/>
          <w:bCs/>
          <w:color w:val="172837"/>
          <w:sz w:val="18"/>
          <w:szCs w:val="18"/>
        </w:rPr>
        <w:t xml:space="preserve">Riservato al Coordinatore</w:t>
      </w:r>
    </w:p>
    <w:p>
      <w:pPr>
        <w:spacing w:after="20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Approvato il: ________________________________</w:t>
      </w:r>
    </w:p>
    <w:p>
      <w:pPr>
        <w:spacing w:after="200"/>
      </w:pPr>
      <w:r>
        <w:rPr>
          <w:rFonts w:ascii="Poppins" w:cs="Poppins" w:eastAsia="Poppins" w:hAnsi="Poppins"/>
          <w:color w:val="222222"/>
          <w:sz w:val="20"/>
          <w:szCs w:val="20"/>
        </w:rPr>
        <w:t xml:space="preserve">Nuova scadenza (Art. 11.1 dell’Accordo): ________________________________</w:t>
      </w:r>
    </w:p>
    <w:sectPr>
      <w:headerReference w:type="default" r:id="rId7"/>
      <w:footerReference w:type="default" r:id="rId8"/>
      <w:pgSz w:w="11906" w:h="16838" w:orient="portrait"/>
      <w:pgMar w:top="1900" w:right="1000" w:bottom="700" w:left="1000" w:header="55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888888"/>
        <w:sz w:val="18"/>
        <w:szCs w:val="18"/>
      </w:rPr>
      <w:t xml:space="preserve">ToothTalk</w:t>
    </w:r>
    <w:r>
      <w:rPr>
        <w:rFonts w:ascii="Poppins" w:cs="Poppins" w:eastAsia="Poppins" w:hAnsi="Poppins"/>
        <w:color w:val="888888"/>
        <w:sz w:val="18"/>
        <w:szCs w:val="18"/>
        <w:vertAlign w:val="superscript"/>
      </w:rPr>
      <w:t xml:space="preserve">™</w:t>
    </w:r>
    <w:r>
      <w:rPr>
        <w:rFonts w:ascii="Poppins" w:cs="Poppins" w:eastAsia="Poppins" w:hAnsi="Poppins"/>
        <w:color w:val="888888"/>
        <w:sz w:val="18"/>
        <w:szCs w:val="18"/>
      </w:rPr>
      <w:t xml:space="preserve"> · pag. </w:t>
    </w:r>
    <w:r>
      <w:rPr>
        <w:rFonts w:ascii="Poppins" w:cs="Poppins" w:eastAsia="Poppins" w:hAnsi="Poppins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40"/>
    </w:pPr>
    <w:r>
      <w:drawing>
        <wp:inline distT="0" distB="0" distL="0" distR="0">
          <wp:extent cx="1533525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c50fd93cd54ac20f8424689f042d96e9d4346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2026-09-16T17:54:50.070Z</dcterms:created>
  <dcterms:modified xsi:type="dcterms:W3CDTF">2026-09-16T17:54:50.073Z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