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Il/La sottoscritto/a ________________________________, nato/a a ________________ il ____________, residente in ________________________________________, C.F. ________________________________, studente/ssa universitario/a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ind w:left="400" w:hanging="400"/>
      </w:pPr>
      <w:r>
        <w:rPr>
          <w:color w:val="222222"/>
          <w:sz w:val="20"/>
          <w:szCs w:val="20"/>
        </w:rPr>
        <w:t>2.4. Il Collaboratore dichiara di essere studente/ssa universitario/a e di partecipare al Progetto in tale veste, restando fermo quanto previsto all'art. 2.3: la collaborazione non dà diritto a riconoscimenti di crediti formativi universitari (CFU/ECTS) né a qualificazioni equivalenti.</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 xml:space="preserve">3.1. Il Collaboratore riconosce che la partecipazione al Progetto gli offre opportunità di rilievo sul piano formativo e professionale, ivi inclusi, a titolo esemplificativo: il consolidamento di rapporti extracurricolari con professori universitari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ind w:left="400" w:hanging="400"/>
      </w:pPr>
      <w:r>
        <w:rPr>
          <w:color w:val="222222"/>
          <w:sz w:val="20"/>
          <w:szCs w:val="20"/>
        </w:rPr>
        <w:t>4.5. Il Collaboratore può ripubblicare, esclusivamente sul proprio profilo social personale e per la sola durata della collaborazione, i contenuti in cui appare (ad esempio taggandosi nei video pubblicati dal Progetto), a condizione che ne sia indicata la provenienza dal Progetto “Tooth Talk™” e che il contenuto non venga alterato rispetto alla versione pubblicata dal Progetto. Il Collaboratore non può pubblicare autonomamente, su altri canali o piattaforme, i contenuti (video, audio, fotografie) realizzati nell'ambito del Progetto, né utilizzarli per finalità diverse da quelle editoriali del Progetto, salvo autorizzazione scritta del Coordinatore.</w:t>
      </w:r>
    </w:p>
    <w:p>
      <w:pPr>
        <w:spacing w:after="70"/>
        <w:ind w:left="400" w:hanging="400"/>
      </w:pPr>
      <w:r>
        <w:rPr>
          <w:color w:val="222222"/>
          <w:sz w:val="20"/>
          <w:szCs w:val="20"/>
        </w:rPr>
        <w:t xml:space="preserve">4.6. La facoltà di cui all'art. 4.5 è legata alla collaborazione in corso: alla cessazione della collaborazione, per qualsiasi causa, il Collaboratore non può ripubblicare ulteriori contenuti del Progetto. </w:t>
      </w:r>
      <w:r>
        <w:rPr>
          <w:b/>
          <w:color w:val="222222"/>
          <w:sz w:val="20"/>
        </w:rPr>
        <w:t>Qualora un contenuto pubblicato venga rimosso o oscurato dal Progetto a seguito di una richiesta di rimozione accolta ai sensi dell'Art. 8.3, il Collaboratore che lo avesse ripubblicato sul proprio profilo ai sensi dell'art. 4.5 si impegna a rimuoverlo a propria volta, senza ritardo ingiustificato: mantenere online un contenuto che il Progetto non può più diffondere costituirebbe un uso del marchio “Tooth Talk™” contrario alla volontà del suo titolare.</w:t>
      </w:r>
    </w:p>
    <w:p>
      <w:pPr>
        <w:spacing w:after="70"/>
        <w:ind w:left="400" w:hanging="400"/>
      </w:pPr>
      <w:r>
        <w:rPr>
          <w:color w:val="222222"/>
          <w:sz w:val="20"/>
          <w:szCs w:val="20"/>
        </w:rPr>
        <w:t>4.7. Qualora il Collaboratore gestisca canali social propri o partecipi ad altri progetti editoriali, può realizzare contenuti autonomi anche su tematiche affini a quelle trattate da “Tooth Talk™”, a condizione che il girato finale pubblicato non possa essere ricondotto — per elementi grafici, stilistici o di montaggio — a quelli utilizzati dal Progetto, e non possa ingenerare confusione circa la provenienza o l'affiliazione con “Tooth Talk™”, e che non venga utilizzata la denominazione, il marchio o il logo “Tooth Talk™”.</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il video di dichiarazione non viene mai incluso nel contenuto pubblicato: resta un elemento separato del pacchetto da sigillare, non pubblicato, con accesso riservato a chi lo ha caricato e al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pStyle w:val="ListParagraph"/>
        <w:numPr>
          <w:ilvl w:val="0"/>
          <w:numId w:val="2"/>
        </w:numPr>
        <w:spacing w:after="50"/>
      </w:pPr>
      <w:r>
        <w:rPr>
          <w:b/>
          <w:bCs/>
          <w:color w:val="222222"/>
          <w:sz w:val="20"/>
          <w:szCs w:val="20"/>
        </w:rPr>
        <w:t>qualora durante l'intervista emerga la necessità di porre una domanda non dichiarata nel video iniziale, integrare la dichiarazione con un nuovo video che includa anche la domanda aggiuntiva prima del sigillo del pacchetto: le risposte a domande non coperte da alcuna dichiarazione di consenso non possono essere utilizzate né incluse nel contenuto pubblicato, secondo le modalità descritte nel Protocollo Operativo (Art. 4.1).</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cancellare la copia locale (dal telefono, tablet, scheda SD, etc.) subito dopo la conferma di avvenuto caricamento sul gestionale, e comunque entro 48 (quarantotto)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il Collaboratore, consapevole dell'impegno editoriale e organizzativo del Progetto, riconosce che la richiesta di rimozione di un contenuto già pubblicato è valutata caso per caso, alla luce delle finalità editoriali del Progetto e delle eccezioni previste dall'art. 17, par. 3, lett. a) del GDPR (libertà di espressione e informazione). </w:t>
      </w:r>
      <w:r>
        <w:rPr>
          <w:b/>
          <w:bCs/>
          <w:i w:val="false"/>
          <w:iCs w:val="false"/>
          <w:color w:val="222222"/>
          <w:sz w:val="20"/>
          <w:szCs w:val="20"/>
        </w:rPr>
        <w:t xml:space="preserve">Il Coordinatore, ricevuta la richiesta di rimozione, valuterà se ricorra una delle eccezioni di cui all'art. 17, par. 3, GDPR. In assenza di tali eccezioni, il Coordinatore provvederà alla rimozione o all'oscuramento (camuffamento di volto/voce) del contenuto entro 30 (trenta) giorni, dandone comunicazione all'interessato. Qualora ricorra un'eccezione, il Coordinatore fornirà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48 (quarantotto) ore dalla data di cessazione, dandone comunicazione al Coordinatore.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