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40"/>
        <w:jc w:val="left"/>
      </w:pPr>
      <w:r>
        <w:rPr>
          <w:b/>
          <w:bCs/>
          <w:color w:val="172837"/>
          <w:sz w:val="34"/>
          <w:szCs w:val="34"/>
        </w:rPr>
        <w:t xml:space="preserve">Protocollo operativo e comportamentale</w:t>
      </w:r>
    </w:p>
    <w:p>
      <w:pPr>
        <w:spacing w:after="140"/>
        <w:jc w:val="left"/>
      </w:pPr>
      <w:r>
        <w:rPr>
          <w:color w:val="6B7280"/>
          <w:sz w:val="18"/>
          <w:szCs w:val="18"/>
        </w:rPr>
        <w:t xml:space="preserve">Allegato all'Accordo editoriale · regole per la realizzazione dei contenuti · Documento 3</w:t>
      </w:r>
    </w:p>
    <w:p>
      <w:pPr>
        <w:spacing w:after="40" w:before="110"/>
      </w:pPr>
      <w:r>
        <w:rPr>
          <w:b/>
          <w:bCs/>
          <w:color w:val="172837"/>
          <w:sz w:val="20"/>
          <w:szCs w:val="20"/>
        </w:rPr>
        <w:t xml:space="preserve">PREMESSA</w:t>
      </w:r>
    </w:p>
    <w:p>
      <w:pPr>
        <w:spacing w:after="90"/>
      </w:pPr>
      <w:r>
        <w:rPr>
          <w:color w:val="222222"/>
          <w:sz w:val="20"/>
          <w:szCs w:val="20"/>
        </w:rPr>
        <w:t xml:space="preserve">Il presente Protocollo definisce le regole operative e i principi comportamentali che tutti i Collaboratori del Progetto "</w:t>
      </w:r>
      <w:r>
        <w:rPr>
          <w:color w:val="222222"/>
          <w:sz w:val="20"/>
          <w:szCs w:val="20"/>
        </w:rPr>
        <w:t xml:space="preserve">Tooth Talk</w:t>
      </w:r>
      <w:r>
        <w:rPr>
          <w:color w:val="222222"/>
          <w:sz w:val="20"/>
          <w:szCs w:val="20"/>
          <w:vertAlign w:val="superscript"/>
        </w:rPr>
        <w:t xml:space="preserve">™</w:t>
      </w:r>
      <w:r>
        <w:rPr>
          <w:color w:val="222222"/>
          <w:sz w:val="20"/>
          <w:szCs w:val="20"/>
        </w:rPr>
        <w:t xml:space="preserve">" si impegnano a rispettare nella realizzazione dei contenuti editoriali. Esso costituisce parte integrante dell'Accordo Editoriale. La non conformità di un contenuto al presente Protocollo comporta la mancata approvazione dello stesso ai fini della pubblicazione, secondo la procedura di sigillo di cui all'Art. 11.</w:t>
      </w:r>
    </w:p>
    <w:p>
      <w:pPr>
        <w:spacing w:after="40" w:before="110"/>
      </w:pPr>
      <w:r>
        <w:rPr>
          <w:b/>
          <w:bCs/>
          <w:color w:val="172837"/>
          <w:sz w:val="20"/>
          <w:szCs w:val="20"/>
        </w:rPr>
        <w:t xml:space="preserve">SEZIONE I — PRINCIPI GENERALI</w:t>
      </w:r>
    </w:p>
    <w:p>
      <w:pPr>
        <w:spacing w:after="70" w:before="170"/>
      </w:pPr>
      <w:r>
        <w:rPr>
          <w:b/>
          <w:bCs/>
          <w:color w:val="172837"/>
          <w:sz w:val="24"/>
          <w:szCs w:val="24"/>
        </w:rPr>
        <w:t xml:space="preserve">Art. 1 — Finalità del Progetto</w:t>
      </w:r>
    </w:p>
    <w:p>
      <w:pPr>
        <w:spacing w:after="70"/>
        <w:ind w:left="400" w:hanging="400"/>
      </w:pPr>
      <w:r>
        <w:rPr>
          <w:color w:val="222222"/>
          <w:sz w:val="20"/>
          <w:szCs w:val="20"/>
        </w:rPr>
        <w:t xml:space="preserve">1.1. "</w:t>
      </w:r>
      <w:r>
        <w:rPr>
          <w:color w:val="222222"/>
          <w:sz w:val="20"/>
          <w:szCs w:val="20"/>
        </w:rPr>
        <w:t xml:space="preserve">Tooth Talk</w:t>
      </w:r>
      <w:r>
        <w:rPr>
          <w:color w:val="222222"/>
          <w:sz w:val="20"/>
          <w:szCs w:val="20"/>
          <w:vertAlign w:val="superscript"/>
        </w:rPr>
        <w:t xml:space="preserve">™</w:t>
      </w:r>
      <w:r>
        <w:rPr>
          <w:color w:val="222222"/>
          <w:sz w:val="20"/>
          <w:szCs w:val="20"/>
        </w:rPr>
        <w:t xml:space="preserve">" è un progetto editoriale senza scopo di lucro finalizzato alla divulgazione della cultura della prevenzione odontoiatrica.</w:t>
      </w:r>
    </w:p>
    <w:p>
      <w:pPr>
        <w:spacing w:after="70"/>
        <w:ind w:left="400" w:hanging="400"/>
      </w:pPr>
      <w:r>
        <w:rPr>
          <w:color w:val="222222"/>
          <w:sz w:val="20"/>
          <w:szCs w:val="20"/>
        </w:rPr>
        <w:t xml:space="preserve">1.2. I Collaboratori condividono tale finalità e si impegnano a realizzare contenuti coerenti, accurati e rispettosi della dignità delle persone coinvolte.</w:t>
      </w:r>
    </w:p>
    <w:p>
      <w:pPr>
        <w:spacing w:after="70" w:before="170"/>
      </w:pPr>
      <w:r>
        <w:rPr>
          <w:b/>
          <w:bCs/>
          <w:color w:val="172837"/>
          <w:sz w:val="24"/>
          <w:szCs w:val="24"/>
        </w:rPr>
        <w:t xml:space="preserve">Art. 2 — Comportamento professionale ed etico</w:t>
      </w:r>
    </w:p>
    <w:p>
      <w:pPr>
        <w:spacing w:after="70"/>
        <w:ind w:left="400" w:hanging="400"/>
      </w:pPr>
      <w:r>
        <w:rPr>
          <w:color w:val="222222"/>
          <w:sz w:val="20"/>
          <w:szCs w:val="20"/>
        </w:rPr>
        <w:t xml:space="preserve">2.1. I Collaboratori si impegnano a mantenere un comportamento corretto, rispettoso e professionale.</w:t>
      </w:r>
    </w:p>
    <w:p>
      <w:pPr>
        <w:spacing w:after="70"/>
        <w:ind w:left="400" w:hanging="400"/>
      </w:pPr>
      <w:r>
        <w:rPr>
          <w:color w:val="222222"/>
          <w:sz w:val="20"/>
          <w:szCs w:val="20"/>
        </w:rPr>
        <w:t xml:space="preserve">2.2. È vietato qualsiasi comportamento discriminatorio, molesto, offensivo o lesivo della dignità altrui.</w:t>
      </w:r>
    </w:p>
    <w:p>
      <w:pPr>
        <w:spacing w:after="70"/>
        <w:ind w:left="400" w:hanging="400"/>
      </w:pPr>
      <w:r>
        <w:rPr>
          <w:color w:val="222222"/>
          <w:sz w:val="20"/>
          <w:szCs w:val="20"/>
        </w:rPr>
        <w:t xml:space="preserve">2.3. I Collaboratori rappresentano il Progetto e sono tenuti a comportarsi in modo da non arrecare pregiudizio all'immagine e alla reputazione dello stesso.</w:t>
      </w:r>
    </w:p>
    <w:p>
      <w:pPr>
        <w:spacing w:after="40" w:before="110"/>
      </w:pPr>
      <w:r>
        <w:rPr>
          <w:b/>
          <w:bCs/>
          <w:color w:val="172837"/>
          <w:sz w:val="20"/>
          <w:szCs w:val="20"/>
        </w:rPr>
        <w:t xml:space="preserve">SEZIONE II — MODALITÀ OPERATIVE PER LA REALIZZAZIONE DEI CONTENUTI</w:t>
      </w:r>
    </w:p>
    <w:p>
      <w:pPr>
        <w:spacing w:after="70" w:before="170"/>
      </w:pPr>
      <w:r>
        <w:rPr>
          <w:b/>
          <w:bCs/>
          <w:color w:val="172837"/>
          <w:sz w:val="24"/>
          <w:szCs w:val="24"/>
        </w:rPr>
        <w:t xml:space="preserve">Art. 3 — Pianificazione e tempistiche</w:t>
      </w:r>
    </w:p>
    <w:p>
      <w:pPr>
        <w:spacing w:after="70"/>
        <w:ind w:left="400" w:hanging="400"/>
      </w:pPr>
      <w:r>
        <w:rPr>
          <w:color w:val="222222"/>
          <w:sz w:val="20"/>
          <w:szCs w:val="20"/>
        </w:rPr>
        <w:t xml:space="preserve">3.1. Il Piano Editoriale e il Calendario Editoriale predisposti dal Coordinatore hanno natura informativa e organizzativa: indicano le proposte di contenuto disponibili, senza costituire obbligo di rispetto per il Collaboratore, che resta libero di aderirvi secondo la propria disponibilità, come previsto dall'Art. 1.3 dell'Accordo Editoriale.</w:t>
      </w:r>
    </w:p>
    <w:p>
      <w:pPr>
        <w:spacing w:after="70" w:before="170"/>
      </w:pPr>
      <w:r>
        <w:rPr>
          <w:b/>
          <w:bCs/>
          <w:color w:val="172837"/>
          <w:sz w:val="24"/>
          <w:szCs w:val="24"/>
        </w:rPr>
        <w:t xml:space="preserve">Art. 4 — Modalità di realizzazione delle interviste e registrazione</w:t>
      </w:r>
    </w:p>
    <w:p>
      <w:pPr>
        <w:spacing w:after="40" w:before="110"/>
      </w:pPr>
      <w:r>
        <w:rPr>
          <w:b/>
          <w:bCs/>
          <w:color w:val="172837"/>
          <w:sz w:val="20"/>
          <w:szCs w:val="20"/>
        </w:rPr>
        <w:t xml:space="preserve">4.1. Video di dichiarazione — identità, recapito e domande dell'intervista</w:t>
      </w:r>
    </w:p>
    <w:p>
      <w:pPr>
        <w:spacing w:after="90"/>
      </w:pPr>
      <w:r>
        <w:rPr>
          <w:color w:val="222222"/>
          <w:sz w:val="20"/>
          <w:szCs w:val="20"/>
        </w:rPr>
        <w:t xml:space="preserve">Prima di iniziare l'intervista vera e propria, il Collaboratore registra un video breve e autonomo (di seguito "video di dichiarazione"), in cui la persona intervistata dichiara, rivolta alla telecamera:</w:t>
      </w:r>
    </w:p>
    <w:p>
      <w:pPr>
        <w:pStyle w:val="ListParagraph"/>
        <w:numPr>
          <w:ilvl w:val="0"/>
          <w:numId w:val="2"/>
        </w:numPr>
        <w:spacing w:after="50"/>
      </w:pPr>
      <w:r>
        <w:rPr>
          <w:color w:val="222222"/>
          <w:sz w:val="20"/>
          <w:szCs w:val="20"/>
        </w:rPr>
        <w:t xml:space="preserve">il proprio nome e cognome completi;</w:t>
      </w:r>
    </w:p>
    <w:p>
      <w:pPr>
        <w:pStyle w:val="ListParagraph"/>
        <w:numPr>
          <w:ilvl w:val="0"/>
          <w:numId w:val="2"/>
        </w:numPr>
        <w:spacing w:after="50"/>
      </w:pPr>
      <w:r>
        <w:rPr>
          <w:color w:val="222222"/>
          <w:sz w:val="20"/>
          <w:szCs w:val="20"/>
        </w:rPr>
        <w:t xml:space="preserve">il proprio recapito (indirizzo email o PEC) a cui verrà inviata la liberatoria digitale da firmare;</w:t>
      </w:r>
    </w:p>
    <w:p>
      <w:pPr>
        <w:pStyle w:val="ListParagraph"/>
        <w:numPr>
          <w:ilvl w:val="0"/>
          <w:numId w:val="2"/>
        </w:numPr>
        <w:spacing w:after="50"/>
      </w:pPr>
      <w:r>
        <w:rPr>
          <w:b/>
          <w:bCs/>
          <w:color w:val="222222"/>
          <w:sz w:val="20"/>
          <w:szCs w:val="20"/>
        </w:rPr>
        <w:t xml:space="preserve">le domande specifiche che le verranno rivolte nell'intervista che sta per iniziare, elencate per intero — non un argomento generico, ma le domande realmente utilizzate, le stesse che risulteranno poi nello script consegnato con il pacchetto (Art. 6 del Protocollo).</w:t>
      </w:r>
    </w:p>
    <w:p>
      <w:pPr>
        <w:spacing w:after="90"/>
      </w:pPr>
      <w:r>
        <w:rPr>
          <w:color w:val="222222"/>
          <w:sz w:val="20"/>
          <w:szCs w:val="20"/>
        </w:rPr>
        <w:t xml:space="preserve">A titolo esemplificativo: "Mi chiamo [nome e cognome], il mio indirizzo email è [email]. Oggi risponderò a queste domande: 1) …, 2) …, 3) …".</w:t>
      </w:r>
    </w:p>
    <w:p>
      <w:pPr>
        <w:spacing w:after="90"/>
      </w:pPr>
      <w:r>
        <w:rPr>
          <w:color w:val="222222"/>
          <w:sz w:val="20"/>
          <w:szCs w:val="20"/>
        </w:rPr>
        <w:t xml:space="preserve">Il video di dichiarazione è un file a sé stante, separato dalle riprese dell'intervista vera e propria, e segue un percorso proprio nel gestionale:</w:t>
      </w:r>
    </w:p>
    <w:p>
      <w:pPr>
        <w:pStyle w:val="ListParagraph"/>
        <w:numPr>
          <w:ilvl w:val="0"/>
          <w:numId w:val="2"/>
        </w:numPr>
        <w:spacing w:after="50"/>
      </w:pPr>
      <w:r>
        <w:rPr>
          <w:color w:val="222222"/>
          <w:sz w:val="20"/>
          <w:szCs w:val="20"/>
        </w:rPr>
        <w:t xml:space="preserve">il recapito dichiarato a video va inserito nell'apposito campo del gestionale prima dell'intervista o, al più tardi, contestualmente ad essa: questo permette di verificare da subito che la liberatoria sia effettivamente recapitata, invece di scoprirlo a intervista conclusa;</w:t>
      </w:r>
    </w:p>
    <w:p>
      <w:pPr>
        <w:pStyle w:val="ListParagraph"/>
        <w:numPr>
          <w:ilvl w:val="0"/>
          <w:numId w:val="2"/>
        </w:numPr>
        <w:spacing w:after="50"/>
      </w:pPr>
      <w:r>
        <w:rPr>
          <w:b/>
          <w:bCs/>
          <w:color w:val="222222"/>
          <w:sz w:val="20"/>
          <w:szCs w:val="20"/>
        </w:rPr>
        <w:t xml:space="preserve">il video di dichiarazione si carica non nei materiali di lavorazione, ma direttamente nella sezione "Video completo" del pacchetto da sigillare, accanto a copertina e liberatoria — entro gli stessi termini di cui all'Art. 6.1 (48-72 ore), e comunque non appena conclusa l'intervista;</w:t>
      </w:r>
    </w:p>
    <w:p>
      <w:pPr>
        <w:pStyle w:val="ListParagraph"/>
        <w:numPr>
          <w:ilvl w:val="0"/>
          <w:numId w:val="2"/>
        </w:numPr>
        <w:spacing w:after="50"/>
      </w:pPr>
      <w:r>
        <w:rPr>
          <w:b/>
          <w:bCs/>
          <w:color w:val="222222"/>
          <w:sz w:val="20"/>
          <w:szCs w:val="20"/>
        </w:rPr>
        <w:t>una volta caricato in quella sezione, il video non è più visibile agli altri membri del gruppo: resta visibile solo a chi lo ha caricato e al Coordinatore, secondo le stesse regole di accesso riservate al materiale grezzo che coinvolge terzi (Art. 6.5).</w:t>
      </w:r>
    </w:p>
    <w:p>
      <w:pPr>
        <w:spacing w:after="90"/>
      </w:pPr>
      <w:r>
        <w:rPr>
          <w:b/>
          <w:bCs/>
          <w:i w:val="false"/>
          <w:iCs w:val="false"/>
          <w:color w:val="222222"/>
          <w:sz w:val="20"/>
          <w:szCs w:val="20"/>
        </w:rPr>
        <w:t xml:space="preserve">Importante: </w:t>
      </w:r>
      <w:r>
        <w:rPr>
          <w:b/>
          <w:bCs/>
          <w:i w:val="false"/>
          <w:iCs w:val="false"/>
          <w:color w:val="222222"/>
          <w:sz w:val="20"/>
          <w:szCs w:val="20"/>
        </w:rPr>
        <w:t xml:space="preserve">il video di dichiarazione non viene mai incluso nel montato consegnato per il sigillo e la pubblicazione: resta un elemento separato del pacchetto, non pubblicato, conservato quale prova della dichiarazione di consenso resa dall'intervistato e del suo perimetro (le domande a cui ha accettato di rispondere). In sede di sigillo (Art. 11) il Coordinatore verifica che le domande dichiarate nel video coincidano con lo script effettivamente consegnato: è questo confronto, non la sola continuità della ripresa, a collegare la dichiarazione a quella specifica intervista. Al sigillo, il video viene archiviato insieme agli altri elementi del pacchetto in una cartella dedicata ("Dichiarazioni") separata da quelle del video e della copertina. L'eventuale pubblicazione dell'immagine e della voce dell'intervistato non include mai il recapito dichiarato.</w:t>
      </w:r>
    </w:p>
    <w:p>
      <w:pPr>
        <w:spacing w:after="90"/>
      </w:pPr>
      <w:r>
        <w:rPr>
          <w:b/>
          <w:bCs/>
          <w:i w:val="false"/>
          <w:iCs w:val="false"/>
          <w:color w:val="222222"/>
          <w:sz w:val="20"/>
          <w:szCs w:val="20"/>
        </w:rPr>
        <w:t xml:space="preserve">Domande non dichiarate: </w:t>
      </w:r>
      <w:r>
        <w:rPr>
          <w:b/>
          <w:bCs/>
          <w:i w:val="false"/>
          <w:iCs w:val="false"/>
          <w:color w:val="222222"/>
          <w:sz w:val="20"/>
          <w:szCs w:val="20"/>
        </w:rPr>
        <w:t>se durante l'intervista emerge la necessità di porre una domanda non dichiarata nel video iniziale, il Collaboratore può proseguire la ripresa, ma deve integrare la dichiarazione con un nuovo video che includa anche la domanda aggiuntiva, prima del sigillo del pacchetto. Le risposte a domande non coperte da alcuna dichiarazione di consenso non possono essere utilizzate né incluse nel contenuto pubblicato: in sede di sigillo, il confronto di cui sopra tra domande dichiarate e script consegnato esclude automaticamente quanto non coperto.</w:t>
      </w:r>
    </w:p>
    <w:p>
      <w:pPr>
        <w:spacing w:after="90"/>
      </w:pPr>
      <w:r>
        <w:rPr>
          <w:color w:val="222222"/>
          <w:sz w:val="20"/>
          <w:szCs w:val="20"/>
        </w:rPr>
        <w:t>È buona pratica registrare il video di integrazione subito dopo la conclusione dell'intervista, per evitare che il Collaboratore dimentichi di farlo in un secondo momento.</w:t>
      </w:r>
    </w:p>
    <w:p>
      <w:pPr>
        <w:spacing w:after="40" w:before="110"/>
      </w:pPr>
      <w:r>
        <w:rPr>
          <w:b/>
          <w:bCs/>
          <w:color w:val="172837"/>
          <w:sz w:val="20"/>
          <w:szCs w:val="20"/>
        </w:rPr>
        <w:t xml:space="preserve">4.2. Trattamento del recapito raccolto</w:t>
      </w:r>
    </w:p>
    <w:p>
      <w:pPr>
        <w:spacing w:after="90"/>
      </w:pPr>
      <w:r>
        <w:rPr>
          <w:color w:val="222222"/>
          <w:sz w:val="20"/>
          <w:szCs w:val="20"/>
        </w:rPr>
        <w:t xml:space="preserve">Il recapito fornito dall'intervistato viene inserito dal Collaboratore nell'apposito campo del gestionale, senza ritardo ingiustificato, a tutela della sicurezza del trattamento dei dati personali di terzi (art. 32 GDPR). Il sistema genera automaticamente il link OTP e invia la liberatoria all'indirizzo indicato. Il Collaboratore non raccoglie, non custodisce e non trasmette alcun documento cartaceo.</w:t>
      </w:r>
    </w:p>
    <w:p>
      <w:pPr>
        <w:spacing w:after="40" w:before="110"/>
      </w:pPr>
      <w:r>
        <w:rPr>
          <w:b/>
          <w:bCs/>
          <w:color w:val="172837"/>
          <w:sz w:val="20"/>
          <w:szCs w:val="20"/>
        </w:rPr>
        <w:t xml:space="preserve">4.3. Interviste a persone per strada</w:t>
      </w:r>
    </w:p>
    <w:p>
      <w:pPr>
        <w:spacing w:after="90"/>
      </w:pPr>
      <w:r>
        <w:rPr>
          <w:color w:val="222222"/>
          <w:sz w:val="20"/>
          <w:szCs w:val="20"/>
        </w:rPr>
        <w:t xml:space="preserve">Il Collaboratore si avvicina alle persone in modo cortese, illustra le finalità del Progetto e segue la procedura di cui al punto 4.1. Se la persona non intende partecipare o non fornisce il recapito, il Collaboratore ringrazia e non procede.</w:t>
      </w:r>
    </w:p>
    <w:p>
      <w:pPr>
        <w:spacing w:after="90"/>
      </w:pPr>
      <w:r>
        <w:rPr>
          <w:b/>
          <w:bCs/>
          <w:i w:val="false"/>
          <w:iCs w:val="false"/>
          <w:color w:val="222222"/>
          <w:sz w:val="20"/>
          <w:szCs w:val="20"/>
        </w:rPr>
        <w:t xml:space="preserve">Il Collaboratore si impegna inoltre a non sollecitare né indurre l'intervistato a rilasciare dichiarazioni che possano integrare diffamazione o lesione della reputazione di terzi, e a interrompere l'intervista qualora l'intervistato manifesti intenzioni in tal senso. </w:t>
      </w:r>
      <w:r>
        <w:rPr>
          <w:b/>
          <w:bCs/>
          <w:i w:val="false"/>
          <w:iCs w:val="false"/>
          <w:color w:val="222222"/>
          <w:sz w:val="20"/>
          <w:szCs w:val="20"/>
        </w:rPr>
        <w:t>La violazione di questo obbligo, a differenza delle altre regole del presente Protocollo, può costituire causa di risoluzione dell'Accordo Editoriale ai sensi del suo Art. 9, in deroga al regime di cui all'Art. 13.1.</w:t>
      </w:r>
    </w:p>
    <w:p>
      <w:pPr>
        <w:spacing w:after="40" w:before="110"/>
      </w:pPr>
      <w:r>
        <w:rPr>
          <w:b/>
          <w:bCs/>
          <w:color w:val="172837"/>
          <w:sz w:val="20"/>
          <w:szCs w:val="20"/>
        </w:rPr>
        <w:t xml:space="preserve">4.4. Soggetti maggiorenni</w:t>
      </w:r>
    </w:p>
    <w:p>
      <w:pPr>
        <w:spacing w:after="90"/>
      </w:pPr>
      <w:r>
        <w:rPr>
          <w:color w:val="222222"/>
          <w:sz w:val="20"/>
          <w:szCs w:val="20"/>
        </w:rPr>
        <w:t xml:space="preserve">Le interviste sono riservate a soggetti maggiorenni. Il Collaboratore verifica, anche solo chiedendo, che l'intervistato sia maggiorenne prima di procedere. In caso di dubbio o di minore età, il Collaboratore non procede all'intervista.</w:t>
      </w:r>
    </w:p>
    <w:p>
      <w:pPr>
        <w:spacing w:after="70" w:before="170"/>
      </w:pPr>
      <w:r>
        <w:rPr>
          <w:b/>
          <w:bCs/>
          <w:color w:val="172837"/>
          <w:sz w:val="24"/>
          <w:szCs w:val="24"/>
        </w:rPr>
        <w:t xml:space="preserve">Art. 5 — Attrezzature e qualità tecnica</w:t>
      </w:r>
    </w:p>
    <w:p>
      <w:pPr>
        <w:spacing w:after="70"/>
        <w:ind w:left="400" w:hanging="400"/>
      </w:pPr>
      <w:r>
        <w:rPr>
          <w:color w:val="222222"/>
          <w:sz w:val="20"/>
          <w:szCs w:val="20"/>
        </w:rPr>
        <w:t xml:space="preserve">5.1. I Collaboratori si impegnano a utilizzare attrezzature (telecamere, microfoni, smartphone, etc.) in grado di garantire una qualità tecnica adeguata alla pubblicazione dei contenuti.</w:t>
      </w:r>
    </w:p>
    <w:p>
      <w:pPr>
        <w:spacing w:after="70"/>
        <w:ind w:left="400" w:hanging="400"/>
      </w:pPr>
      <w:r>
        <w:rPr>
          <w:color w:val="222222"/>
          <w:sz w:val="20"/>
          <w:szCs w:val="20"/>
        </w:rPr>
        <w:t xml:space="preserve">5.2. In caso di necessità, il Coordinatore potrà fornire indicazioni tecniche o mettere a disposizione attrezzature del Progetto.</w:t>
      </w:r>
    </w:p>
    <w:p>
      <w:pPr>
        <w:spacing w:after="70" w:before="170"/>
      </w:pPr>
      <w:r>
        <w:rPr>
          <w:b/>
          <w:bCs/>
          <w:color w:val="172837"/>
          <w:sz w:val="24"/>
          <w:szCs w:val="24"/>
        </w:rPr>
        <w:t xml:space="preserve">Art. 6 — Caricamento e gestione del materiale grezzo</w:t>
      </w:r>
    </w:p>
    <w:p>
      <w:pPr>
        <w:spacing w:after="70"/>
        <w:ind w:left="400" w:hanging="400"/>
      </w:pPr>
      <w:r>
        <w:rPr>
          <w:color w:val="222222"/>
          <w:sz w:val="20"/>
          <w:szCs w:val="20"/>
        </w:rPr>
        <w:t xml:space="preserve">6.1. Il Collaboratore deve caricare il materiale grezzo (file video, audio, fotografie) sul gestionale entro 48-72 ore dalla ripresa. Il termine è stabilito a tutela della sicurezza del trattamento dei dati personali di terzi eventualmente presenti nel materiale (art. 32 GDPR — minimizzazione del tempo di custodia decentralizzata del materiale) e non costituisce una cadenza di lavoro imposta al Collaboratore.</w:t>
      </w:r>
    </w:p>
    <w:p>
      <w:pPr>
        <w:spacing w:after="70"/>
        <w:ind w:left="400" w:hanging="400"/>
      </w:pPr>
      <w:r>
        <w:rPr>
          <w:color w:val="222222"/>
          <w:sz w:val="20"/>
          <w:szCs w:val="20"/>
        </w:rPr>
        <w:t xml:space="preserve">6.2. Il Collaboratore non deve condividere il materiale con altri Collaboratori o terzi al di fuori del caricamento diretto sul gestionale.</w:t>
      </w:r>
    </w:p>
    <w:p>
      <w:pPr>
        <w:spacing w:after="90"/>
        <w:ind w:left="400" w:hanging="400"/>
      </w:pPr>
      <w:r>
        <w:rPr>
          <w:b w:val="false"/>
          <w:bCs w:val="false"/>
          <w:i w:val="false"/>
          <w:iCs w:val="false"/>
          <w:color w:val="222222"/>
          <w:sz w:val="20"/>
          <w:szCs w:val="20"/>
        </w:rPr>
        <w:t xml:space="preserve">6.3. Subito dopo la conferma di avvenuto caricamento, e comunque </w:t>
      </w:r>
      <w:r>
        <w:rPr>
          <w:b/>
          <w:bCs/>
          <w:i w:val="false"/>
          <w:iCs w:val="false"/>
          <w:color w:val="222222"/>
          <w:sz w:val="20"/>
          <w:szCs w:val="20"/>
        </w:rPr>
        <w:t>entro 48 (quarantotto) ore dalla ricezione della conferma di caricamento da parte del gestionale,</w:t>
      </w:r>
      <w:r>
        <w:rPr>
          <w:b w:val="false"/>
          <w:bCs w:val="false"/>
          <w:i w:val="false"/>
          <w:iCs w:val="false"/>
          <w:color w:val="222222"/>
          <w:sz w:val="20"/>
          <w:szCs w:val="20"/>
        </w:rPr>
        <w:t xml:space="preserve"> il Collaboratore deve cancellare la copia locale (dal telefono, tablet, scheda SD, computer) del materiale caricato.</w:t>
      </w:r>
    </w:p>
    <w:p>
      <w:pPr>
        <w:spacing w:after="70"/>
        <w:ind w:left="400" w:hanging="400"/>
      </w:pPr>
      <w:r>
        <w:rPr>
          <w:color w:val="222222"/>
          <w:sz w:val="20"/>
          <w:szCs w:val="20"/>
        </w:rPr>
        <w:t xml:space="preserve">6.4. Il Collaboratore deve mantenere il proprio dispositivo protetto da blocco schermo/PIN e, ove possibile, con crittografia del volume.</w:t>
      </w:r>
    </w:p>
    <w:p>
      <w:pPr>
        <w:spacing w:after="90"/>
        <w:ind w:left="400" w:hanging="400"/>
      </w:pPr>
      <w:r>
        <w:rPr>
          <w:b w:val="false"/>
          <w:bCs w:val="false"/>
          <w:i w:val="false"/>
          <w:iCs w:val="false"/>
          <w:color w:val="222222"/>
          <w:sz w:val="20"/>
          <w:szCs w:val="20"/>
        </w:rPr>
        <w:t xml:space="preserve">6.5. Il video di dichiarazione (Art. 4.1) non viene mai eliminato dal gestionale, nemmeno dopo il sigillo: caricato direttamente nella sezione "Video completo" del pacchetto da sigillare, resta conservato </w:t>
      </w:r>
      <w:r>
        <w:rPr>
          <w:b/>
          <w:bCs/>
          <w:i w:val="false"/>
          <w:iCs w:val="false"/>
          <w:color w:val="222222"/>
          <w:sz w:val="20"/>
          <w:szCs w:val="20"/>
        </w:rPr>
        <w:t xml:space="preserve">con accesso riservato a chi lo ha caricato e al Coordinatore</w:t>
      </w:r>
      <w:r>
        <w:rPr>
          <w:b w:val="false"/>
          <w:bCs w:val="false"/>
          <w:i w:val="false"/>
          <w:iCs w:val="false"/>
          <w:color w:val="222222"/>
          <w:sz w:val="20"/>
          <w:szCs w:val="20"/>
        </w:rPr>
        <w:t xml:space="preserve">, quale prova della dichiarazione di consenso resa dall'intervistato e del perimetro di domande a cui ha accettato di rispondere. Non è visibile né accessibile agli altri Collaboratori del Progetto; il Coordinatore può condividerlo caso per caso con chi debba effettivamente montare il contenuto.</w:t>
      </w:r>
    </w:p>
    <w:p>
      <w:pPr>
        <w:spacing w:after="40" w:before="110"/>
      </w:pPr>
      <w:r>
        <w:rPr>
          <w:b/>
          <w:bCs/>
          <w:color w:val="172837"/>
          <w:sz w:val="20"/>
          <w:szCs w:val="20"/>
        </w:rPr>
        <w:t xml:space="preserve">SEZIONE III — PROTEZIONE DEI DATI PERSONALI E LIBERATORIE</w:t>
      </w:r>
    </w:p>
    <w:p>
      <w:pPr>
        <w:spacing w:after="70" w:before="170"/>
      </w:pPr>
      <w:r>
        <w:rPr>
          <w:b/>
          <w:bCs/>
          <w:color w:val="172837"/>
          <w:sz w:val="24"/>
          <w:szCs w:val="24"/>
        </w:rPr>
        <w:t xml:space="preserve">Art. 7 — Obblighi generali in materia di privacy</w:t>
      </w:r>
    </w:p>
    <w:p>
      <w:pPr>
        <w:spacing w:after="70"/>
        <w:ind w:left="400" w:hanging="400"/>
      </w:pPr>
      <w:r>
        <w:rPr>
          <w:color w:val="222222"/>
          <w:sz w:val="20"/>
          <w:szCs w:val="20"/>
        </w:rPr>
        <w:t xml:space="preserve">7.1. I Collaboratori sono tenuti al rispetto del GDPR in tutte le attività.</w:t>
      </w:r>
    </w:p>
    <w:p>
      <w:pPr>
        <w:spacing w:after="70"/>
        <w:ind w:left="400" w:hanging="400"/>
      </w:pPr>
      <w:r>
        <w:rPr>
          <w:color w:val="222222"/>
          <w:sz w:val="20"/>
          <w:szCs w:val="20"/>
        </w:rPr>
        <w:t xml:space="preserve">7.2. Il Collaboratore opera in qualità di persona autorizzata al trattamento (art. 29 GDPR), senza autonomia decisionale. Tutti i dati personali raccolti (recapiti) vengono inseriti direttamente nel gestionale, che gestisce l'invio, la raccolta della firma e la conservazione delle liberatorie. Non è mai consentito raccogliere, detenere o trasmettere moduli cartacei di liberatoria.</w:t>
      </w:r>
    </w:p>
    <w:p>
      <w:pPr>
        <w:spacing w:after="70" w:before="170"/>
      </w:pPr>
      <w:r>
        <w:rPr>
          <w:b/>
          <w:bCs/>
          <w:color w:val="172837"/>
          <w:sz w:val="24"/>
          <w:szCs w:val="24"/>
        </w:rPr>
        <w:t xml:space="preserve">Art. 8 — Conservazione e trasmissione della documentazione</w:t>
      </w:r>
    </w:p>
    <w:p>
      <w:pPr>
        <w:spacing w:after="70"/>
        <w:ind w:left="400" w:hanging="400"/>
      </w:pPr>
      <w:r>
        <w:rPr>
          <w:color w:val="222222"/>
          <w:sz w:val="20"/>
          <w:szCs w:val="20"/>
        </w:rPr>
        <w:t xml:space="preserve">8.1. La documentazione (liberatorie firmate) è conservata esclusivamente dal gestionale. Il Collaboratore non ha accesso ai documenti firmati, non li scarica e non li trasmette.</w:t>
      </w:r>
    </w:p>
    <w:p>
      <w:pPr>
        <w:spacing w:after="70"/>
        <w:ind w:left="400" w:hanging="400"/>
      </w:pPr>
      <w:r>
        <w:rPr>
          <w:color w:val="222222"/>
          <w:sz w:val="20"/>
          <w:szCs w:val="20"/>
        </w:rPr>
        <w:t xml:space="preserve">8.2. In nessun caso il Collaboratore deve conservare copie di liberatorie, informative o dati personali degli intervistati sui propri dispositivi personali.</w:t>
      </w:r>
    </w:p>
    <w:p>
      <w:pPr>
        <w:spacing w:after="40" w:before="110"/>
      </w:pPr>
      <w:r>
        <w:rPr>
          <w:b/>
          <w:bCs/>
          <w:color w:val="172837"/>
          <w:sz w:val="20"/>
          <w:szCs w:val="20"/>
        </w:rPr>
        <w:t xml:space="preserve">SEZIONE IV — GESTIONE DEI CONTENUTI E PROPRIETÀ INTELLETTUALE</w:t>
      </w:r>
    </w:p>
    <w:p>
      <w:pPr>
        <w:spacing w:after="70" w:before="170"/>
      </w:pPr>
      <w:r>
        <w:rPr>
          <w:b/>
          <w:bCs/>
          <w:color w:val="172837"/>
          <w:sz w:val="24"/>
          <w:szCs w:val="24"/>
        </w:rPr>
        <w:t xml:space="preserve">Art. 9 — Originalità e fonti</w:t>
      </w:r>
    </w:p>
    <w:p>
      <w:pPr>
        <w:spacing w:after="70"/>
        <w:ind w:left="400" w:hanging="400"/>
      </w:pPr>
      <w:r>
        <w:rPr>
          <w:color w:val="222222"/>
          <w:sz w:val="20"/>
          <w:szCs w:val="20"/>
        </w:rPr>
        <w:t xml:space="preserve">9.1. I Collaboratori si impegnano a realizzare contenuti originali e a citare correttamente le fonti.</w:t>
      </w:r>
    </w:p>
    <w:p>
      <w:pPr>
        <w:spacing w:after="70"/>
        <w:ind w:left="400" w:hanging="400"/>
      </w:pPr>
      <w:r>
        <w:rPr>
          <w:color w:val="222222"/>
          <w:sz w:val="20"/>
          <w:szCs w:val="20"/>
        </w:rPr>
        <w:t xml:space="preserve">9.2. È vietato utilizzare materiale protetto da diritti d'autore senza autorizzazione.</w:t>
      </w:r>
    </w:p>
    <w:p>
      <w:pPr>
        <w:spacing w:after="70" w:before="170"/>
      </w:pPr>
      <w:r>
        <w:rPr>
          <w:b/>
          <w:bCs/>
          <w:color w:val="172837"/>
          <w:sz w:val="24"/>
          <w:szCs w:val="24"/>
        </w:rPr>
        <w:t xml:space="preserve">Art. 10 — Regole di montaggio</w:t>
      </w:r>
    </w:p>
    <w:p>
      <w:pPr>
        <w:spacing w:after="70"/>
        <w:ind w:left="400" w:hanging="400"/>
      </w:pPr>
      <w:r>
        <w:rPr>
          <w:color w:val="222222"/>
          <w:sz w:val="20"/>
          <w:szCs w:val="20"/>
        </w:rPr>
        <w:t xml:space="preserve">10.1. È vietato l'uso di effetti sonori (risate, rumori, musiche ironiche), effetti visivi (sovraimpressioni umoristiche, meme, filtri) o montaggi che alterino il tono o il significato delle dichiarazioni dell'intervistato.</w:t>
      </w:r>
    </w:p>
    <w:p>
      <w:pPr>
        <w:spacing w:after="70"/>
        <w:ind w:left="400" w:hanging="400"/>
      </w:pPr>
      <w:r>
        <w:rPr>
          <w:color w:val="222222"/>
          <w:sz w:val="20"/>
          <w:szCs w:val="20"/>
        </w:rPr>
        <w:t xml:space="preserve">10.2. I tagli temporali devono mantenere il contesto: ogni risposta deve essere preceduta dalla domanda che l'ha generata, a meno che la domanda non sia intuibile e non ne derivi alterazione del senso.</w:t>
      </w:r>
    </w:p>
    <w:p>
      <w:pPr>
        <w:spacing w:after="70"/>
        <w:ind w:left="400" w:hanging="400"/>
      </w:pPr>
      <w:r>
        <w:rPr>
          <w:color w:val="222222"/>
          <w:sz w:val="20"/>
          <w:szCs w:val="20"/>
        </w:rPr>
        <w:t xml:space="preserve">10.3. Qualsiasi sovraimpressione di testo deve riportare fedelmente le parole dell'intervistato, senza sintesi o interpretazioni.</w:t>
      </w:r>
    </w:p>
    <w:p>
      <w:pPr>
        <w:spacing w:after="70"/>
        <w:ind w:left="400" w:hanging="400"/>
      </w:pPr>
      <w:r>
        <w:rPr>
          <w:color w:val="222222"/>
          <w:sz w:val="20"/>
          <w:szCs w:val="20"/>
        </w:rPr>
        <w:t xml:space="preserve">10.4. Ogni contenuto che contiene un riferimento, anche indiretto, a un prodotto, un marchio, un'azienda o un trattamento terapeutico commercializzato, deve essere sottoposto a verifica preventiva del Coordinatore prima del sigillo e della pubblicazione.</w:t>
      </w:r>
    </w:p>
    <w:p>
      <w:pPr>
        <w:spacing w:after="70" w:before="170"/>
      </w:pPr>
      <w:r>
        <w:rPr>
          <w:b/>
          <w:bCs/>
          <w:color w:val="172837"/>
          <w:sz w:val="24"/>
          <w:szCs w:val="24"/>
        </w:rPr>
        <w:t xml:space="preserve">Art. 11 — Sigillo del Coordinatore e pubblicazione</w:t>
      </w:r>
    </w:p>
    <w:p>
      <w:pPr>
        <w:spacing w:after="70"/>
        <w:ind w:left="400" w:hanging="400"/>
      </w:pPr>
      <w:r>
        <w:rPr>
          <w:color w:val="222222"/>
          <w:sz w:val="20"/>
          <w:szCs w:val="20"/>
        </w:rPr>
        <w:t xml:space="preserve">11.1. Il Collaboratore trasmette il montato al Coordinatore per la visione.</w:t>
      </w:r>
    </w:p>
    <w:p>
      <w:pPr>
        <w:spacing w:after="70"/>
        <w:ind w:left="400" w:hanging="400"/>
      </w:pPr>
      <w:r>
        <w:rPr>
          <w:color w:val="222222"/>
          <w:sz w:val="20"/>
          <w:szCs w:val="20"/>
        </w:rPr>
        <w:t xml:space="preserve">11.2. Il Coordinatore visiona il montato e, se conforme al Protocollo, appone il "sigillo" (approvazione nel gestionale con data e ora). Nessun contenuto può essere pubblicato senza il sigillo del Coordinatore.</w:t>
      </w:r>
    </w:p>
    <w:p>
      <w:pPr>
        <w:spacing w:after="40" w:before="110"/>
      </w:pPr>
      <w:r>
        <w:rPr>
          <w:b/>
          <w:bCs/>
          <w:color w:val="172837"/>
          <w:sz w:val="20"/>
          <w:szCs w:val="20"/>
        </w:rPr>
        <w:t xml:space="preserve">SEZIONE V — DISPOSIZIONI FINALI</w:t>
      </w:r>
    </w:p>
    <w:p>
      <w:pPr>
        <w:spacing w:after="70" w:before="170"/>
      </w:pPr>
      <w:r>
        <w:rPr>
          <w:b/>
          <w:bCs/>
          <w:color w:val="172837"/>
          <w:sz w:val="24"/>
          <w:szCs w:val="24"/>
        </w:rPr>
        <w:t xml:space="preserve">Art. 12 — Aggiornamento del Protocollo</w:t>
      </w:r>
    </w:p>
    <w:p>
      <w:pPr>
        <w:spacing w:after="70"/>
        <w:ind w:left="400" w:hanging="400"/>
      </w:pPr>
      <w:r>
        <w:rPr>
          <w:color w:val="222222"/>
          <w:sz w:val="20"/>
          <w:szCs w:val="20"/>
        </w:rPr>
        <w:t>12.1. Il Coordinatore si riserva il diritto di aggiornare il presente Protocollo a seguito di variazioni normative, linee guida del Garante per la protezione dei dati personali, o aggiornamenti delle best practice riconosciute in materia di trattamento e sicurezza dei dati personali, dandone comunicazione ai Collaboratori tramite email o gestionale con un preavviso di almeno 15 giorni. Gli aggiornamenti possono riguardare esclusivamente i criteri di conformità editoriale, tecnica e di tutela dei dati personali del contenuto finale, nonché le modalità di registrazione, conservazione e trasmissione dei dati personali di terzi (es. tempistiche di caricamento, procedure di cancellazione, formati di dichiarazione), e non possono introdurre nuovi obblighi relativi a tempi, luoghi o modalità di esecuzione dell'attività editoriale del Collaboratore, riservati in via esclusiva all'Accordo Editoriale. Eventuali modifiche che incidano sugli obblighi del Collaboratore in materia di dati personali devono essere comunicate con almeno 15 giorni di preavviso e sono efficaci solo dopo tale termine. Il Collaboratore che non intenda accettarle può recedere dall'Accordo senza preavviso, ai sensi dell'Art. 9.1 dell'Accordo Editoriale.</w:t>
      </w:r>
    </w:p>
    <w:p>
      <w:pPr>
        <w:spacing w:after="70" w:before="170"/>
      </w:pPr>
      <w:r>
        <w:rPr>
          <w:b/>
          <w:bCs/>
          <w:color w:val="172837"/>
          <w:sz w:val="24"/>
          <w:szCs w:val="24"/>
        </w:rPr>
        <w:t xml:space="preserve">Art. 13 — Accettazione del Protocollo</w:t>
      </w:r>
    </w:p>
    <w:p>
      <w:pPr>
        <w:spacing w:after="70"/>
        <w:ind w:left="400" w:hanging="400"/>
      </w:pPr>
      <w:r>
        <w:rPr>
          <w:color w:val="222222"/>
          <w:sz w:val="20"/>
          <w:szCs w:val="20"/>
        </w:rPr>
        <w:t xml:space="preserve">13.1. La sottoscrizione dell'Accordo Editoriale comporta l'accettazione integrale del presente Protocollo. La non conformità di un contenuto alle regole qui previste comporta esclusivamente la mancata approvazione dello stesso ai fini della pubblicazione (Art. 11), e non costituisce di per sé causa di risoluzione dell'Accordo Editoriale.</w:t>
      </w:r>
    </w:p>
    <w:p>
      <w:pPr>
        <w:spacing w:after="40" w:before="110"/>
      </w:pPr>
      <w:r>
        <w:rPr>
          <w:b/>
          <w:bCs/>
          <w:color w:val="172837"/>
          <w:sz w:val="20"/>
          <w:szCs w:val="20"/>
        </w:rPr>
        <w:t xml:space="preserve">Allegati al Protocollo:</w:t>
      </w:r>
    </w:p>
    <w:p>
      <w:pPr>
        <w:pStyle w:val="ListParagraph"/>
        <w:numPr>
          <w:ilvl w:val="0"/>
          <w:numId w:val="2"/>
        </w:numPr>
        <w:spacing w:after="50"/>
      </w:pPr>
      <w:r>
        <w:rPr>
          <w:color w:val="222222"/>
          <w:sz w:val="20"/>
          <w:szCs w:val="20"/>
        </w:rPr>
        <w:t xml:space="preserve">Documento 2 — Informativa e Liberatoria per interviste</w:t>
      </w:r>
    </w:p>
    <w:p>
      <w:pPr>
        <w:pStyle w:val="ListParagraph"/>
        <w:numPr>
          <w:ilvl w:val="0"/>
          <w:numId w:val="2"/>
        </w:numPr>
        <w:spacing w:after="50"/>
      </w:pPr>
      <w:r>
        <w:rPr>
          <w:color w:val="222222"/>
          <w:sz w:val="20"/>
          <w:szCs w:val="20"/>
        </w:rPr>
        <w:t xml:space="preserve">Documento 4 — Modulo di nomina individuale a persona autorizzata</w:t>
      </w:r>
    </w:p>
    <w:sectPr>
      <w:headerReference w:type="default" r:id="rId7"/>
      <w:footerReference w:type="default" r:id="rId8"/>
      <w:pgSz w:w="11906" w:h="16838" w:orient="portrait"/>
      <w:pgMar w:top="1900" w:right="1000" w:bottom="700" w:left="1000" w:header="200" w:footer="3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ToothTalk</w:t>
    </w:r>
    <w:r>
      <w:rPr>
        <w:color w:val="888888"/>
        <w:sz w:val="18"/>
        <w:szCs w:val="18"/>
        <w:vertAlign w:val="superscript"/>
      </w:rPr>
      <w:t xml:space="preserve">™</w:t>
    </w:r>
    <w:r>
      <w:rPr>
        <w:color w:val="888888"/>
        <w:sz w:val="18"/>
        <w:szCs w:val="18"/>
      </w:rPr>
      <w:t xml:space="preserve"> · pag.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before="750"/>
      <w:jc w:val="left"/>
    </w:pPr>
    <w:r>
      <w:drawing>
        <wp:inline distT="0" distB="0" distL="0" distR="0">
          <wp:extent cx="2047875"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047875"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color w:val="222222"/>
        <w:sz w:val="20"/>
        <w:szCs w:val="20"/>
      </w:rPr>
    </w:rPrDefault>
    <w:pPrDefault>
      <w:pPr>
        <w:spacing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bc50fd93cd54ac20f8424689f042d96e9d4346e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2026-08-22T10:11:35.758Z</dcterms:created>
  <dcterms:modified xsi:type="dcterms:W3CDTF">2026-08-22T10:11:35.758Z</dcterms:modified>
</cp:coreProperties>
</file>

<file path=docProps/custom.xml><?xml version="1.0" encoding="utf-8"?>
<Properties xmlns="http://schemas.openxmlformats.org/officeDocument/2006/custom-properties" xmlns:vt="http://schemas.openxmlformats.org/officeDocument/2006/docPropsVTypes"/>
</file>