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>Termine generale: i dati saranno conservati per un periodo massimo di 10 (dieci)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 La previsione di una revisione periodica anziché di un termine fisso e definitivo è la modalità di conservazione indicata dall'art. 5, par. 1, lett. e), del GDPR e dal Considerando 39 dello stesso Regolamento.</w:t>
      </w:r>
    </w:p>
    <w:p>
      <w:pPr>
        <w:spacing w:after="90"/>
      </w:pPr>
      <w:r>
        <w:rPr>
          <w:b/>
          <w:color w:val="222222"/>
          <w:sz w:val="20"/>
          <w:szCs w:val="20"/>
        </w:rPr>
        <w:t>Conservazione della liberatoria sottoscritta: la liberatoria di cui alla Sezione 2, quale prova del consenso prestato, è conservata separatamente per un periodo di 10 (dieci) anni dalla data del sigillo del contenuto a cui si riferisce, estendibile finché il contenuto pubblicato rimane online, con le stesse modalità di revisione di cui sopra. Il Titolare resta infatti tenuto a poter dimostrare in ogni momento la validità del consenso, ai sensi degli artt. 5, par. 2, e 7, par. 1, del GDPR, per tutto il tempo in cui il contenuto correlato resta pubblicato.</w:t>
      </w:r>
    </w:p>
    <w:p>
      <w:pPr>
        <w:spacing w:after="90"/>
      </w:pPr>
      <w:r>
        <w:rPr>
          <w:b w:val="0"/>
          <w:color w:val="222222"/>
          <w:sz w:val="20"/>
          <w:szCs w:val="20"/>
        </w:rPr>
        <w:t>I materiali certificati del pacchetto sigillato e l'archivio delle comunicazioni PEC relative alla presente liberatoria sono conservati per un periodo di 10 (dieci) anni dalla data del sigillo, estendibile di ulteriori 5 (cinque) anni per esigenze di tutela legale, ai sensi dell'art. 17, par. 3, lett. e), del GDPR e degli artt. 2946 e 2947 del Codice Civile.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la conservazione e diffusione di un contenuto già pubblicato si fonda, oltre che sul consenso prestato con la liberatoria, sul legittimo interesse del Progetto (art. 6.1.f GDPR) a mantenere accessibile un contenuto che continua a svolgere una funzione informativa ed educativa in ambito di prevenzione odontoiatrica; puoi opporti in qualsiasi momento ai sensi dell'art. 21 GDPR. Il Coordinatore, ricevuta una richiesta di rimozione o opposizione, bilancia il legittimo interesse del Progetto con il tuo e valuta se ricorra una delle eccezioni di cui all'art. 17, par. 3, GDPR. </w:t>
      </w:r>
      <w:r>
        <w:rPr>
          <w:b/>
          <w:bCs/>
          <w:i w:val="false"/>
          <w:iCs w:val="false"/>
          <w:color w:val="222222"/>
          <w:sz w:val="20"/>
          <w:szCs w:val="20"/>
        </w:rPr>
        <w:t>In assenza di tali eccezioni e se dal bilanciamento prevale il tuo interesse, il Coordinatore provvederà alla rimozione o all'oscuramento (camuffamento di volto/voce) del contenuto entro 30 (trenta) giorni, dandone comunicazione all'interessato. Altrimenti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>DICHIARAZIONE E CONFERMA (UNICA)</w:t>
      </w:r>
    </w:p>
    <w:p>
      <w:pPr>
        <w:keepNext/>
        <w:spacing w:after="90"/>
      </w:pPr>
      <w:r>
        <w:rPr>
          <w:color w:val="222222"/>
          <w:sz w:val="20"/>
          <w:szCs w:val="20"/>
        </w:rPr>
        <w:t>L'interessato, presa visione dell'Informativa (Sezione 1) e della Liberatoria (Sezione 2) sopra riportate, DICHIARA di averle lette e comprese integralmente, e ACCONSENTE a quanto ivi previsto.</w:t>
      </w:r>
    </w:p>
    <w:p>
      <w:pPr>
        <w:keepNext/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>Nota tecnica: la conferma avviene inserendo il codice OTP di 6 cifre inviato all'indirizzo email o PEC indicato, che genera contemporaneamente entrambe le dichiarazioni, con timestamp e identità del recapito registrati automaticamente dal sistema — non è richiesta alcuna compilazione manuale di nome, data o firma.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2026-08-21T22:00:20.783Z</dcterms:created>
  <dcterms:modified xsi:type="dcterms:W3CDTF">2026-08-21T22:00:20.783Z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