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tl w:val="0"/>
        </w:rPr>
        <w:t xml:space="preserve">The article, which focuses on Georgia State University as an example, offers a thorough analysis of how universities are employing predictive analytics to increase graduation rates. Identifying students who may have academic difficulties and providing them with early interventions to help them finish their degrees has proven to be a successful approach. Keenan Robinson's story is especially interesting since it tells the story of a student who changed his major to respiratory therapy a career that is relevant to his struggles with asthma with the help of predictive analytics. Predictive analytics has the ability to help students succeed academically and steer them toward vocations that have personal significance for them.</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tl w:val="0"/>
        </w:rPr>
        <w:t xml:space="preserve">Predictive analytics presents a number of possible risks and ethical issues, though, when used in the classroom. With these systems requiring significant tracking and analysis of students' academic achievement, activities, and, in some circumstances, personal lives, one major worry is the invasion of privacy and the surveillance of students. Racial and social injustices run the risk of being reinforced as well. If algorithms are based on historical data that reflect existing biases, they may inadvertently direct minority or low-income students away from more challenging majors or opportunities, perpetuating systemic inequalities.</w:t>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rtl w:val="0"/>
        </w:rPr>
        <w:t xml:space="preserve">For universities utilizing these technologies, there are additional queries and worries about how they can protect against potential biases in prediction models and guarantee transparency with students over the usage of their data. Also, rather than guiding students too narrowly based on what the data shows, institutions need to think about how to strike a balance between using predictive analytics and creating an environment that promotes exploration and personal growth. Ultimately, in order to make sure that the resources are being used fairly and successfully to support rather than restrict student potential and opportunities, it is imperative that the effects of these analytics be regularly assessed for every student, especially those from underrepresented backgrounds.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