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6"/>
        <w:tblW w:w="0" w:type="auto"/>
        <w:tblInd w:w="0" w:type="dxa"/>
        <w:tblLayout w:type="fixed"/>
        <w:tblCellMar>
          <w:top w:w="0" w:type="dxa"/>
          <w:left w:w="0" w:type="dxa"/>
          <w:bottom w:w="0" w:type="dxa"/>
          <w:right w:w="0" w:type="dxa"/>
        </w:tblCellMar>
      </w:tblPr>
      <w:tblGrid>
        <w:gridCol w:w="4546"/>
        <w:gridCol w:w="2279"/>
        <w:gridCol w:w="2267"/>
      </w:tblGrid>
      <w:tr w14:paraId="1E13EA81">
        <w:tblPrEx>
          <w:tblCellMar>
            <w:top w:w="0" w:type="dxa"/>
            <w:left w:w="0" w:type="dxa"/>
            <w:bottom w:w="0" w:type="dxa"/>
            <w:right w:w="0" w:type="dxa"/>
          </w:tblCellMar>
        </w:tblPrEx>
        <w:tc>
          <w:tcPr>
            <w:tcW w:w="4546" w:type="dxa"/>
            <w:vMerge w:val="restart"/>
            <w:tcBorders>
              <w:top w:val="nil"/>
              <w:left w:val="nil"/>
              <w:bottom w:val="nil"/>
              <w:right w:val="nil"/>
            </w:tcBorders>
          </w:tcPr>
          <w:p w14:paraId="1E900FFA">
            <w:pPr>
              <w:spacing w:after="200"/>
            </w:pPr>
          </w:p>
          <w:p w14:paraId="17C1B520">
            <w:pPr>
              <w:spacing w:after="200"/>
            </w:pPr>
          </w:p>
          <w:p w14:paraId="7D4E5527">
            <w:r>
              <w:rPr>
                <w:sz w:val="12"/>
              </w:rPr>
              <w:t>NKT GmbH &amp; Co. KG · Ella-Barowsky-Straße 45-47 · 10829 Berlin</w:t>
            </w:r>
          </w:p>
          <w:p w14:paraId="4125B2C7">
            <w:r>
              <w:br w:type="textWrapping"/>
            </w:r>
            <w:r>
              <w:rPr>
                <w:highlight w:val="yellow"/>
              </w:rPr>
              <w:t>NKT Cables Portugal, S.A.</w:t>
            </w:r>
            <w:r>
              <w:rPr>
                <w:highlight w:val="yellow"/>
              </w:rPr>
              <w:br w:type="textWrapping"/>
            </w:r>
            <w:r>
              <w:rPr>
                <w:highlight w:val="yellow"/>
              </w:rPr>
              <w:t>Avenida 19 de Agosto No 126</w:t>
            </w:r>
            <w:r>
              <w:rPr>
                <w:highlight w:val="yellow"/>
              </w:rPr>
              <w:br w:type="textWrapping"/>
            </w:r>
            <w:r>
              <w:rPr>
                <w:highlight w:val="yellow"/>
              </w:rPr>
              <w:br w:type="textWrapping"/>
            </w:r>
            <w:r>
              <w:rPr>
                <w:highlight w:val="yellow"/>
              </w:rPr>
              <w:t>4740-209 Esposende</w:t>
            </w:r>
            <w:r>
              <w:rPr>
                <w:highlight w:val="yellow"/>
              </w:rPr>
              <w:br w:type="textWrapping"/>
            </w:r>
            <w:r>
              <w:rPr>
                <w:highlight w:val="yellow"/>
              </w:rPr>
              <w:t>Portugal</w:t>
            </w:r>
          </w:p>
        </w:tc>
        <w:tc>
          <w:tcPr>
            <w:tcW w:w="2279" w:type="dxa"/>
            <w:tcBorders>
              <w:top w:val="nil"/>
              <w:left w:val="nil"/>
              <w:right w:val="nil"/>
            </w:tcBorders>
          </w:tcPr>
          <w:p w14:paraId="5E484EA3"/>
        </w:tc>
        <w:tc>
          <w:tcPr>
            <w:tcW w:w="2267" w:type="dxa"/>
            <w:tcBorders>
              <w:top w:val="nil"/>
              <w:left w:val="nil"/>
              <w:right w:val="nil"/>
            </w:tcBorders>
          </w:tcPr>
          <w:p w14:paraId="16FDB4F5">
            <w:pPr>
              <w:rPr>
                <w:color w:val="1E326E"/>
                <w:sz w:val="14"/>
              </w:rPr>
            </w:pPr>
            <w:r>
              <w:rPr>
                <w:color w:val="1E326E"/>
                <w:sz w:val="14"/>
              </w:rPr>
              <w:t>NKT GmbH &amp; Co. KG</w:t>
            </w:r>
          </w:p>
        </w:tc>
      </w:tr>
      <w:tr w14:paraId="6A70E1FD">
        <w:tblPrEx>
          <w:tblCellMar>
            <w:top w:w="0" w:type="dxa"/>
            <w:left w:w="0" w:type="dxa"/>
            <w:bottom w:w="0" w:type="dxa"/>
            <w:right w:w="0" w:type="dxa"/>
          </w:tblCellMar>
        </w:tblPrEx>
        <w:tc>
          <w:tcPr>
            <w:tcW w:w="4546" w:type="dxa"/>
            <w:vMerge w:val="continue"/>
            <w:tcMar>
              <w:top w:w="0" w:type="dxa"/>
              <w:left w:w="0" w:type="dxa"/>
              <w:bottom w:w="0" w:type="dxa"/>
              <w:right w:w="0" w:type="dxa"/>
            </w:tcMar>
          </w:tcPr>
          <w:p w14:paraId="7D1825FC"/>
        </w:tc>
        <w:tc>
          <w:tcPr>
            <w:tcW w:w="2279" w:type="dxa"/>
            <w:tcBorders>
              <w:top w:val="nil"/>
              <w:left w:val="nil"/>
              <w:right w:val="nil"/>
            </w:tcBorders>
            <w:tcMar>
              <w:top w:w="0" w:type="dxa"/>
              <w:left w:w="0" w:type="dxa"/>
              <w:bottom w:w="0" w:type="dxa"/>
              <w:right w:w="0" w:type="dxa"/>
            </w:tcMar>
          </w:tcPr>
          <w:p w14:paraId="22762D8F"/>
        </w:tc>
        <w:tc>
          <w:tcPr>
            <w:tcW w:w="2267" w:type="dxa"/>
            <w:tcBorders>
              <w:top w:val="nil"/>
              <w:left w:val="nil"/>
              <w:right w:val="nil"/>
            </w:tcBorders>
          </w:tcPr>
          <w:p w14:paraId="2ABE87EA">
            <w:pPr>
              <w:rPr>
                <w:color w:val="1E326E"/>
                <w:sz w:val="14"/>
              </w:rPr>
            </w:pPr>
            <w:r>
              <w:rPr>
                <w:color w:val="1E326E"/>
                <w:sz w:val="14"/>
              </w:rPr>
              <w:t>Ella-Barowsky-Straße 45-47</w:t>
            </w:r>
            <w:r>
              <w:rPr>
                <w:color w:val="1E326E"/>
                <w:sz w:val="14"/>
              </w:rPr>
              <w:br w:type="textWrapping"/>
            </w:r>
            <w:r>
              <w:rPr>
                <w:color w:val="1E326E"/>
                <w:sz w:val="14"/>
              </w:rPr>
              <w:t>10829 Berlin</w:t>
            </w:r>
            <w:r>
              <w:rPr>
                <w:color w:val="1E326E"/>
                <w:sz w:val="14"/>
              </w:rPr>
              <w:br w:type="textWrapping"/>
            </w:r>
            <w:r>
              <w:rPr>
                <w:color w:val="1E326E"/>
                <w:sz w:val="14"/>
              </w:rPr>
              <w:t>Germany</w:t>
            </w:r>
          </w:p>
        </w:tc>
      </w:tr>
      <w:tr w14:paraId="1C986314">
        <w:tblPrEx>
          <w:tblCellMar>
            <w:top w:w="0" w:type="dxa"/>
            <w:left w:w="0" w:type="dxa"/>
            <w:bottom w:w="0" w:type="dxa"/>
            <w:right w:w="0" w:type="dxa"/>
          </w:tblCellMar>
        </w:tblPrEx>
        <w:tc>
          <w:tcPr>
            <w:tcW w:w="4546" w:type="dxa"/>
            <w:vMerge w:val="continue"/>
            <w:tcMar>
              <w:top w:w="0" w:type="dxa"/>
              <w:left w:w="0" w:type="dxa"/>
              <w:bottom w:w="0" w:type="dxa"/>
              <w:right w:w="0" w:type="dxa"/>
            </w:tcMar>
          </w:tcPr>
          <w:p w14:paraId="079A99C7"/>
        </w:tc>
        <w:tc>
          <w:tcPr>
            <w:tcW w:w="2279" w:type="dxa"/>
            <w:tcBorders>
              <w:top w:val="nil"/>
              <w:left w:val="nil"/>
              <w:right w:val="nil"/>
            </w:tcBorders>
            <w:tcMar>
              <w:top w:w="0" w:type="dxa"/>
              <w:left w:w="0" w:type="dxa"/>
              <w:bottom w:w="0" w:type="dxa"/>
              <w:right w:w="0" w:type="dxa"/>
            </w:tcMar>
          </w:tcPr>
          <w:p w14:paraId="510A2C3A"/>
        </w:tc>
        <w:tc>
          <w:tcPr>
            <w:tcW w:w="2267" w:type="dxa"/>
            <w:tcBorders>
              <w:top w:val="nil"/>
              <w:left w:val="nil"/>
              <w:right w:val="nil"/>
            </w:tcBorders>
          </w:tcPr>
          <w:p w14:paraId="0E4F8B1C">
            <w:pPr>
              <w:rPr>
                <w:color w:val="1E326E"/>
                <w:sz w:val="14"/>
              </w:rPr>
            </w:pPr>
          </w:p>
        </w:tc>
      </w:tr>
      <w:tr w14:paraId="35CB9979">
        <w:tblPrEx>
          <w:tblCellMar>
            <w:top w:w="0" w:type="dxa"/>
            <w:left w:w="0" w:type="dxa"/>
            <w:bottom w:w="0" w:type="dxa"/>
            <w:right w:w="0" w:type="dxa"/>
          </w:tblCellMar>
        </w:tblPrEx>
        <w:tc>
          <w:tcPr>
            <w:tcW w:w="4546" w:type="dxa"/>
            <w:vMerge w:val="continue"/>
            <w:tcMar>
              <w:top w:w="0" w:type="dxa"/>
              <w:left w:w="0" w:type="dxa"/>
              <w:bottom w:w="0" w:type="dxa"/>
              <w:right w:w="0" w:type="dxa"/>
            </w:tcMar>
          </w:tcPr>
          <w:p w14:paraId="1D1DA8B2"/>
        </w:tc>
        <w:tc>
          <w:tcPr>
            <w:tcW w:w="2279" w:type="dxa"/>
            <w:tcBorders>
              <w:top w:val="nil"/>
              <w:left w:val="nil"/>
              <w:right w:val="nil"/>
            </w:tcBorders>
            <w:tcMar>
              <w:top w:w="0" w:type="dxa"/>
              <w:left w:w="0" w:type="dxa"/>
              <w:bottom w:w="0" w:type="dxa"/>
              <w:right w:w="0" w:type="dxa"/>
            </w:tcMar>
          </w:tcPr>
          <w:p w14:paraId="15DD7182"/>
        </w:tc>
        <w:tc>
          <w:tcPr>
            <w:tcW w:w="2267" w:type="dxa"/>
            <w:tcBorders>
              <w:top w:val="nil"/>
              <w:left w:val="nil"/>
              <w:right w:val="nil"/>
            </w:tcBorders>
          </w:tcPr>
          <w:p w14:paraId="6B584E95">
            <w:pPr>
              <w:rPr>
                <w:color w:val="1E326E"/>
                <w:sz w:val="14"/>
              </w:rPr>
            </w:pPr>
          </w:p>
        </w:tc>
      </w:tr>
      <w:tr w14:paraId="1D7DE77A">
        <w:tblPrEx>
          <w:tblCellMar>
            <w:top w:w="0" w:type="dxa"/>
            <w:left w:w="0" w:type="dxa"/>
            <w:bottom w:w="0" w:type="dxa"/>
            <w:right w:w="0" w:type="dxa"/>
          </w:tblCellMar>
        </w:tblPrEx>
        <w:tc>
          <w:tcPr>
            <w:tcW w:w="4546" w:type="dxa"/>
            <w:vMerge w:val="continue"/>
            <w:tcMar>
              <w:top w:w="0" w:type="dxa"/>
              <w:left w:w="0" w:type="dxa"/>
              <w:bottom w:w="0" w:type="dxa"/>
              <w:right w:w="0" w:type="dxa"/>
            </w:tcMar>
          </w:tcPr>
          <w:p w14:paraId="5ECB8DCC"/>
        </w:tc>
        <w:tc>
          <w:tcPr>
            <w:tcW w:w="2279" w:type="dxa"/>
            <w:tcBorders>
              <w:top w:val="nil"/>
              <w:left w:val="nil"/>
              <w:right w:val="nil"/>
            </w:tcBorders>
            <w:tcMar>
              <w:top w:w="0" w:type="dxa"/>
              <w:left w:w="0" w:type="dxa"/>
              <w:bottom w:w="0" w:type="dxa"/>
              <w:right w:w="0" w:type="dxa"/>
            </w:tcMar>
          </w:tcPr>
          <w:p w14:paraId="420BB8F4"/>
        </w:tc>
        <w:tc>
          <w:tcPr>
            <w:tcW w:w="2267" w:type="dxa"/>
            <w:tcBorders>
              <w:top w:val="nil"/>
              <w:left w:val="nil"/>
              <w:right w:val="nil"/>
            </w:tcBorders>
          </w:tcPr>
          <w:p w14:paraId="56C34D6B">
            <w:pPr>
              <w:rPr>
                <w:color w:val="1E326E"/>
                <w:sz w:val="14"/>
              </w:rPr>
            </w:pPr>
          </w:p>
        </w:tc>
      </w:tr>
      <w:tr w14:paraId="49DF1436">
        <w:tblPrEx>
          <w:tblCellMar>
            <w:top w:w="0" w:type="dxa"/>
            <w:left w:w="0" w:type="dxa"/>
            <w:bottom w:w="0" w:type="dxa"/>
            <w:right w:w="0" w:type="dxa"/>
          </w:tblCellMar>
        </w:tblPrEx>
        <w:tc>
          <w:tcPr>
            <w:tcW w:w="4546" w:type="dxa"/>
            <w:vMerge w:val="continue"/>
            <w:tcMar>
              <w:top w:w="0" w:type="dxa"/>
              <w:left w:w="0" w:type="dxa"/>
              <w:bottom w:w="0" w:type="dxa"/>
              <w:right w:w="0" w:type="dxa"/>
            </w:tcMar>
          </w:tcPr>
          <w:p w14:paraId="0225F27D"/>
        </w:tc>
        <w:tc>
          <w:tcPr>
            <w:tcW w:w="2279" w:type="dxa"/>
            <w:tcBorders>
              <w:top w:val="nil"/>
              <w:left w:val="nil"/>
              <w:right w:val="nil"/>
            </w:tcBorders>
            <w:tcMar>
              <w:top w:w="0" w:type="dxa"/>
              <w:left w:w="0" w:type="dxa"/>
              <w:bottom w:w="0" w:type="dxa"/>
              <w:right w:w="0" w:type="dxa"/>
            </w:tcMar>
          </w:tcPr>
          <w:p w14:paraId="04D45D9C"/>
        </w:tc>
        <w:tc>
          <w:tcPr>
            <w:tcW w:w="2267" w:type="dxa"/>
            <w:tcBorders>
              <w:top w:val="nil"/>
              <w:left w:val="nil"/>
              <w:right w:val="nil"/>
            </w:tcBorders>
          </w:tcPr>
          <w:p w14:paraId="6217E5FD">
            <w:pPr>
              <w:rPr>
                <w:color w:val="1E326E"/>
                <w:sz w:val="14"/>
              </w:rPr>
            </w:pPr>
            <w:r>
              <w:rPr>
                <w:color w:val="1E326E"/>
                <w:sz w:val="14"/>
              </w:rPr>
              <w:t>Phone: +49 (0)30 60009-0</w:t>
            </w:r>
          </w:p>
        </w:tc>
      </w:tr>
      <w:tr w14:paraId="29A3FD6E">
        <w:tblPrEx>
          <w:tblCellMar>
            <w:top w:w="0" w:type="dxa"/>
            <w:left w:w="0" w:type="dxa"/>
            <w:bottom w:w="0" w:type="dxa"/>
            <w:right w:w="0" w:type="dxa"/>
          </w:tblCellMar>
        </w:tblPrEx>
        <w:tc>
          <w:tcPr>
            <w:tcW w:w="4546" w:type="dxa"/>
            <w:vMerge w:val="continue"/>
            <w:tcBorders>
              <w:top w:val="nil"/>
              <w:left w:val="nil"/>
              <w:bottom w:val="nil"/>
              <w:right w:val="nil"/>
            </w:tcBorders>
          </w:tcPr>
          <w:p w14:paraId="0E172919"/>
        </w:tc>
        <w:tc>
          <w:tcPr>
            <w:tcW w:w="2279" w:type="dxa"/>
            <w:tcBorders>
              <w:top w:val="nil"/>
              <w:left w:val="nil"/>
              <w:right w:val="nil"/>
            </w:tcBorders>
          </w:tcPr>
          <w:p w14:paraId="29905084"/>
        </w:tc>
        <w:tc>
          <w:tcPr>
            <w:tcW w:w="2267" w:type="dxa"/>
            <w:tcBorders>
              <w:top w:val="nil"/>
              <w:left w:val="nil"/>
              <w:right w:val="nil"/>
            </w:tcBorders>
          </w:tcPr>
          <w:p w14:paraId="206DA6C8">
            <w:pPr>
              <w:rPr>
                <w:color w:val="1E326E"/>
                <w:sz w:val="14"/>
              </w:rPr>
            </w:pPr>
            <w:r>
              <w:rPr>
                <w:color w:val="1E326E"/>
                <w:sz w:val="14"/>
              </w:rPr>
              <w:t>Telefax: +49 (0)30 60009-417</w:t>
            </w:r>
          </w:p>
        </w:tc>
      </w:tr>
      <w:tr w14:paraId="41BC36B1">
        <w:tblPrEx>
          <w:tblCellMar>
            <w:top w:w="0" w:type="dxa"/>
            <w:left w:w="0" w:type="dxa"/>
            <w:bottom w:w="0" w:type="dxa"/>
            <w:right w:w="0" w:type="dxa"/>
          </w:tblCellMar>
        </w:tblPrEx>
        <w:tc>
          <w:tcPr>
            <w:tcW w:w="4546" w:type="dxa"/>
            <w:vMerge w:val="continue"/>
            <w:tcBorders>
              <w:top w:val="nil"/>
              <w:left w:val="nil"/>
              <w:bottom w:val="nil"/>
              <w:right w:val="nil"/>
            </w:tcBorders>
          </w:tcPr>
          <w:p w14:paraId="133E3656"/>
        </w:tc>
        <w:tc>
          <w:tcPr>
            <w:tcW w:w="2279" w:type="dxa"/>
            <w:tcBorders>
              <w:top w:val="nil"/>
              <w:left w:val="nil"/>
              <w:right w:val="nil"/>
            </w:tcBorders>
          </w:tcPr>
          <w:p w14:paraId="54B73EC2"/>
        </w:tc>
        <w:tc>
          <w:tcPr>
            <w:tcW w:w="2267" w:type="dxa"/>
            <w:tcBorders>
              <w:top w:val="nil"/>
              <w:left w:val="nil"/>
              <w:right w:val="nil"/>
            </w:tcBorders>
          </w:tcPr>
          <w:p w14:paraId="14EF7730">
            <w:pPr>
              <w:rPr>
                <w:color w:val="1E326E"/>
                <w:sz w:val="14"/>
              </w:rPr>
            </w:pPr>
            <w:r>
              <w:rPr>
                <w:color w:val="1E326E"/>
                <w:sz w:val="14"/>
              </w:rPr>
              <w:t xml:space="preserve">Internet: </w:t>
            </w:r>
            <w:r>
              <w:rPr>
                <w:color w:val="0000FF"/>
                <w:sz w:val="14"/>
                <w:u w:val="single"/>
              </w:rPr>
              <w:t>www.nkt.com</w:t>
            </w:r>
          </w:p>
        </w:tc>
      </w:tr>
      <w:tr w14:paraId="3D0422C8">
        <w:tblPrEx>
          <w:tblCellMar>
            <w:top w:w="0" w:type="dxa"/>
            <w:left w:w="0" w:type="dxa"/>
            <w:bottom w:w="0" w:type="dxa"/>
            <w:right w:w="0" w:type="dxa"/>
          </w:tblCellMar>
        </w:tblPrEx>
        <w:tc>
          <w:tcPr>
            <w:tcW w:w="4546" w:type="dxa"/>
            <w:tcMar>
              <w:top w:w="0" w:type="dxa"/>
              <w:left w:w="0" w:type="dxa"/>
              <w:bottom w:w="0" w:type="dxa"/>
              <w:right w:w="0" w:type="dxa"/>
            </w:tcMar>
          </w:tcPr>
          <w:p w14:paraId="6C8AFE5D"/>
        </w:tc>
        <w:tc>
          <w:tcPr>
            <w:tcW w:w="2279" w:type="dxa"/>
            <w:tcBorders>
              <w:top w:val="nil"/>
              <w:left w:val="nil"/>
              <w:right w:val="nil"/>
            </w:tcBorders>
            <w:tcMar>
              <w:top w:w="0" w:type="dxa"/>
              <w:left w:w="0" w:type="dxa"/>
              <w:bottom w:w="0" w:type="dxa"/>
              <w:right w:w="0" w:type="dxa"/>
            </w:tcMar>
          </w:tcPr>
          <w:p w14:paraId="2B4D1C5D"/>
        </w:tc>
        <w:tc>
          <w:tcPr>
            <w:tcW w:w="2267" w:type="dxa"/>
            <w:tcBorders>
              <w:top w:val="nil"/>
              <w:left w:val="nil"/>
              <w:right w:val="nil"/>
            </w:tcBorders>
          </w:tcPr>
          <w:p w14:paraId="4845E8E3">
            <w:pPr>
              <w:rPr>
                <w:color w:val="1E326E"/>
                <w:sz w:val="14"/>
                <w:lang w:val="de-DE"/>
              </w:rPr>
            </w:pPr>
            <w:r>
              <w:rPr>
                <w:color w:val="1E326E"/>
                <w:sz w:val="14"/>
                <w:lang w:val="de-DE"/>
              </w:rPr>
              <w:t>E-Mail: info@nkt.com</w:t>
            </w:r>
          </w:p>
        </w:tc>
      </w:tr>
      <w:tr w14:paraId="25596C09">
        <w:tblPrEx>
          <w:tblCellMar>
            <w:top w:w="0" w:type="dxa"/>
            <w:left w:w="0" w:type="dxa"/>
            <w:bottom w:w="0" w:type="dxa"/>
            <w:right w:w="0" w:type="dxa"/>
          </w:tblCellMar>
        </w:tblPrEx>
        <w:tc>
          <w:tcPr>
            <w:tcW w:w="4546" w:type="dxa"/>
            <w:tcMar>
              <w:top w:w="0" w:type="dxa"/>
              <w:left w:w="0" w:type="dxa"/>
              <w:bottom w:w="0" w:type="dxa"/>
              <w:right w:w="0" w:type="dxa"/>
            </w:tcMar>
          </w:tcPr>
          <w:p w14:paraId="62B73616">
            <w:pPr>
              <w:rPr>
                <w:lang w:val="de-DE"/>
              </w:rPr>
            </w:pPr>
          </w:p>
        </w:tc>
        <w:tc>
          <w:tcPr>
            <w:tcW w:w="2279" w:type="dxa"/>
            <w:tcBorders>
              <w:top w:val="nil"/>
              <w:left w:val="nil"/>
              <w:right w:val="nil"/>
            </w:tcBorders>
            <w:tcMar>
              <w:top w:w="0" w:type="dxa"/>
              <w:left w:w="0" w:type="dxa"/>
              <w:bottom w:w="0" w:type="dxa"/>
              <w:right w:w="0" w:type="dxa"/>
            </w:tcMar>
          </w:tcPr>
          <w:p w14:paraId="29A2C542">
            <w:pPr>
              <w:rPr>
                <w:lang w:val="de-DE"/>
              </w:rPr>
            </w:pPr>
          </w:p>
        </w:tc>
        <w:tc>
          <w:tcPr>
            <w:tcW w:w="2267" w:type="dxa"/>
            <w:tcBorders>
              <w:top w:val="nil"/>
              <w:left w:val="nil"/>
              <w:right w:val="nil"/>
            </w:tcBorders>
          </w:tcPr>
          <w:p w14:paraId="64763197">
            <w:pPr>
              <w:rPr>
                <w:color w:val="1E326E"/>
                <w:sz w:val="14"/>
                <w:lang w:val="de-DE"/>
              </w:rPr>
            </w:pPr>
          </w:p>
        </w:tc>
      </w:tr>
      <w:tr w14:paraId="180E3ACD">
        <w:tblPrEx>
          <w:tblCellMar>
            <w:top w:w="0" w:type="dxa"/>
            <w:left w:w="0" w:type="dxa"/>
            <w:bottom w:w="0" w:type="dxa"/>
            <w:right w:w="0" w:type="dxa"/>
          </w:tblCellMar>
        </w:tblPrEx>
        <w:tc>
          <w:tcPr>
            <w:tcW w:w="4546" w:type="dxa"/>
            <w:tcMar>
              <w:top w:w="0" w:type="dxa"/>
              <w:left w:w="0" w:type="dxa"/>
              <w:bottom w:w="0" w:type="dxa"/>
              <w:right w:w="0" w:type="dxa"/>
            </w:tcMar>
          </w:tcPr>
          <w:p w14:paraId="72926A9C">
            <w:pPr>
              <w:rPr>
                <w:lang w:val="de-DE"/>
              </w:rPr>
            </w:pPr>
          </w:p>
        </w:tc>
        <w:tc>
          <w:tcPr>
            <w:tcW w:w="2279" w:type="dxa"/>
            <w:tcBorders>
              <w:top w:val="nil"/>
              <w:left w:val="nil"/>
              <w:right w:val="nil"/>
            </w:tcBorders>
            <w:tcMar>
              <w:top w:w="0" w:type="dxa"/>
              <w:left w:w="0" w:type="dxa"/>
              <w:bottom w:w="0" w:type="dxa"/>
              <w:right w:w="0" w:type="dxa"/>
            </w:tcMar>
          </w:tcPr>
          <w:p w14:paraId="7610DE9A">
            <w:pPr>
              <w:rPr>
                <w:lang w:val="de-DE"/>
              </w:rPr>
            </w:pPr>
          </w:p>
        </w:tc>
        <w:tc>
          <w:tcPr>
            <w:tcW w:w="2267" w:type="dxa"/>
            <w:tcBorders>
              <w:top w:val="nil"/>
              <w:left w:val="nil"/>
              <w:right w:val="nil"/>
            </w:tcBorders>
          </w:tcPr>
          <w:p w14:paraId="0038A493">
            <w:pPr>
              <w:rPr>
                <w:color w:val="1E326E"/>
                <w:sz w:val="14"/>
                <w:highlight w:val="yellow"/>
              </w:rPr>
            </w:pPr>
            <w:r>
              <w:rPr>
                <w:b/>
                <w:color w:val="1E326E"/>
                <w:sz w:val="14"/>
                <w:highlight w:val="yellow"/>
              </w:rPr>
              <w:t>Contact Person</w:t>
            </w:r>
          </w:p>
        </w:tc>
      </w:tr>
      <w:tr w14:paraId="133C4D01">
        <w:tblPrEx>
          <w:tblCellMar>
            <w:top w:w="0" w:type="dxa"/>
            <w:left w:w="0" w:type="dxa"/>
            <w:bottom w:w="0" w:type="dxa"/>
            <w:right w:w="0" w:type="dxa"/>
          </w:tblCellMar>
        </w:tblPrEx>
        <w:tc>
          <w:tcPr>
            <w:tcW w:w="4546" w:type="dxa"/>
            <w:tcMar>
              <w:top w:w="0" w:type="dxa"/>
              <w:left w:w="0" w:type="dxa"/>
              <w:bottom w:w="0" w:type="dxa"/>
              <w:right w:w="0" w:type="dxa"/>
            </w:tcMar>
          </w:tcPr>
          <w:p w14:paraId="74F28211"/>
        </w:tc>
        <w:tc>
          <w:tcPr>
            <w:tcW w:w="2279" w:type="dxa"/>
            <w:tcBorders>
              <w:top w:val="nil"/>
              <w:left w:val="nil"/>
              <w:right w:val="nil"/>
            </w:tcBorders>
            <w:tcMar>
              <w:top w:w="0" w:type="dxa"/>
              <w:left w:w="0" w:type="dxa"/>
              <w:bottom w:w="0" w:type="dxa"/>
              <w:right w:w="0" w:type="dxa"/>
            </w:tcMar>
          </w:tcPr>
          <w:p w14:paraId="1674CC35"/>
        </w:tc>
        <w:tc>
          <w:tcPr>
            <w:tcW w:w="2267" w:type="dxa"/>
            <w:tcBorders>
              <w:top w:val="nil"/>
              <w:left w:val="nil"/>
              <w:right w:val="nil"/>
            </w:tcBorders>
          </w:tcPr>
          <w:p w14:paraId="19CAC6E0">
            <w:pPr>
              <w:rPr>
                <w:color w:val="1E326E"/>
                <w:sz w:val="14"/>
                <w:highlight w:val="yellow"/>
              </w:rPr>
            </w:pPr>
            <w:r>
              <w:rPr>
                <w:color w:val="1E326E"/>
                <w:sz w:val="14"/>
                <w:highlight w:val="yellow"/>
              </w:rPr>
              <w:t>Andrea Zedlitz</w:t>
            </w:r>
          </w:p>
        </w:tc>
      </w:tr>
      <w:tr w14:paraId="4E752474">
        <w:tblPrEx>
          <w:tblCellMar>
            <w:top w:w="0" w:type="dxa"/>
            <w:left w:w="0" w:type="dxa"/>
            <w:bottom w:w="0" w:type="dxa"/>
            <w:right w:w="0" w:type="dxa"/>
          </w:tblCellMar>
        </w:tblPrEx>
        <w:tc>
          <w:tcPr>
            <w:tcW w:w="4546" w:type="dxa"/>
            <w:tcMar>
              <w:top w:w="0" w:type="dxa"/>
              <w:left w:w="0" w:type="dxa"/>
              <w:bottom w:w="0" w:type="dxa"/>
              <w:right w:w="0" w:type="dxa"/>
            </w:tcMar>
          </w:tcPr>
          <w:p w14:paraId="0B62D9BC"/>
        </w:tc>
        <w:tc>
          <w:tcPr>
            <w:tcW w:w="2279" w:type="dxa"/>
            <w:tcBorders>
              <w:top w:val="nil"/>
              <w:left w:val="nil"/>
              <w:bottom w:val="nil"/>
              <w:right w:val="nil"/>
            </w:tcBorders>
            <w:tcMar>
              <w:top w:w="0" w:type="dxa"/>
              <w:left w:w="0" w:type="dxa"/>
              <w:bottom w:w="0" w:type="dxa"/>
              <w:right w:w="0" w:type="dxa"/>
            </w:tcMar>
          </w:tcPr>
          <w:p w14:paraId="6A47C7E1"/>
        </w:tc>
        <w:tc>
          <w:tcPr>
            <w:tcW w:w="2267" w:type="dxa"/>
            <w:tcBorders>
              <w:top w:val="nil"/>
              <w:left w:val="nil"/>
              <w:bottom w:val="nil"/>
              <w:right w:val="nil"/>
            </w:tcBorders>
          </w:tcPr>
          <w:p w14:paraId="5ECBE09F">
            <w:pPr>
              <w:rPr>
                <w:color w:val="1E326E"/>
                <w:sz w:val="14"/>
                <w:highlight w:val="yellow"/>
              </w:rPr>
            </w:pPr>
            <w:r>
              <w:rPr>
                <w:color w:val="1E326E"/>
                <w:sz w:val="14"/>
                <w:highlight w:val="yellow"/>
              </w:rPr>
              <w:t>Phone: +493060009313</w:t>
            </w:r>
          </w:p>
        </w:tc>
      </w:tr>
      <w:tr w14:paraId="1C43B6B6">
        <w:tblPrEx>
          <w:tblCellMar>
            <w:top w:w="0" w:type="dxa"/>
            <w:left w:w="0" w:type="dxa"/>
            <w:bottom w:w="0" w:type="dxa"/>
            <w:right w:w="0" w:type="dxa"/>
          </w:tblCellMar>
        </w:tblPrEx>
        <w:tc>
          <w:tcPr>
            <w:tcW w:w="4546" w:type="dxa"/>
            <w:tcMar>
              <w:top w:w="0" w:type="dxa"/>
              <w:left w:w="0" w:type="dxa"/>
              <w:bottom w:w="0" w:type="dxa"/>
              <w:right w:w="0" w:type="dxa"/>
            </w:tcMar>
          </w:tcPr>
          <w:p w14:paraId="7F04572B"/>
        </w:tc>
        <w:tc>
          <w:tcPr>
            <w:tcW w:w="2279" w:type="dxa"/>
            <w:tcBorders>
              <w:top w:val="nil"/>
              <w:left w:val="nil"/>
              <w:bottom w:val="nil"/>
              <w:right w:val="nil"/>
            </w:tcBorders>
            <w:tcMar>
              <w:top w:w="0" w:type="dxa"/>
              <w:left w:w="0" w:type="dxa"/>
              <w:bottom w:w="0" w:type="dxa"/>
              <w:right w:w="0" w:type="dxa"/>
            </w:tcMar>
          </w:tcPr>
          <w:p w14:paraId="64911570"/>
        </w:tc>
        <w:tc>
          <w:tcPr>
            <w:tcW w:w="2267" w:type="dxa"/>
            <w:tcBorders>
              <w:top w:val="nil"/>
              <w:left w:val="nil"/>
              <w:bottom w:val="nil"/>
              <w:right w:val="nil"/>
            </w:tcBorders>
          </w:tcPr>
          <w:p w14:paraId="2CF05D9A">
            <w:pPr>
              <w:rPr>
                <w:color w:val="1E326E"/>
                <w:sz w:val="14"/>
                <w:highlight w:val="yellow"/>
              </w:rPr>
            </w:pPr>
            <w:r>
              <w:rPr>
                <w:color w:val="1E326E"/>
                <w:sz w:val="14"/>
                <w:highlight w:val="yellow"/>
              </w:rPr>
              <w:t>Mobile: +491736293924</w:t>
            </w:r>
          </w:p>
        </w:tc>
      </w:tr>
      <w:tr w14:paraId="0126906E">
        <w:tblPrEx>
          <w:tblCellMar>
            <w:top w:w="0" w:type="dxa"/>
            <w:left w:w="0" w:type="dxa"/>
            <w:bottom w:w="0" w:type="dxa"/>
            <w:right w:w="0" w:type="dxa"/>
          </w:tblCellMar>
        </w:tblPrEx>
        <w:tc>
          <w:tcPr>
            <w:tcW w:w="4546" w:type="dxa"/>
          </w:tcPr>
          <w:p w14:paraId="6CC52ED1"/>
        </w:tc>
        <w:tc>
          <w:tcPr>
            <w:tcW w:w="2279" w:type="dxa"/>
          </w:tcPr>
          <w:p w14:paraId="63A20BCC"/>
        </w:tc>
        <w:tc>
          <w:tcPr>
            <w:tcW w:w="2267" w:type="dxa"/>
          </w:tcPr>
          <w:p w14:paraId="5AAB8552">
            <w:pPr>
              <w:rPr>
                <w:color w:val="1E326E"/>
                <w:sz w:val="14"/>
                <w:highlight w:val="yellow"/>
              </w:rPr>
            </w:pPr>
            <w:r>
              <w:rPr>
                <w:color w:val="1E326E"/>
                <w:sz w:val="14"/>
                <w:highlight w:val="yellow"/>
              </w:rPr>
              <w:t>Andrea.Zedlitz@nkt.com</w:t>
            </w:r>
            <w:r>
              <w:rPr>
                <w:color w:val="1E326E"/>
                <w:sz w:val="14"/>
                <w:highlight w:val="yellow"/>
              </w:rPr>
              <w:br w:type="textWrapping"/>
            </w:r>
          </w:p>
        </w:tc>
      </w:tr>
      <w:tr w14:paraId="23163740">
        <w:tblPrEx>
          <w:tblCellMar>
            <w:top w:w="0" w:type="dxa"/>
            <w:left w:w="0" w:type="dxa"/>
            <w:bottom w:w="0" w:type="dxa"/>
            <w:right w:w="0" w:type="dxa"/>
          </w:tblCellMar>
        </w:tblPrEx>
        <w:tc>
          <w:tcPr>
            <w:tcW w:w="4546" w:type="dxa"/>
          </w:tcPr>
          <w:p w14:paraId="3F7F862E"/>
        </w:tc>
        <w:tc>
          <w:tcPr>
            <w:tcW w:w="2279" w:type="dxa"/>
          </w:tcPr>
          <w:p w14:paraId="1A4B71B9"/>
        </w:tc>
        <w:tc>
          <w:tcPr>
            <w:tcW w:w="2267" w:type="dxa"/>
          </w:tcPr>
          <w:p w14:paraId="5B56916F">
            <w:pPr>
              <w:rPr>
                <w:color w:val="1E326E"/>
                <w:sz w:val="14"/>
              </w:rPr>
            </w:pPr>
            <w:r>
              <w:rPr>
                <w:b/>
                <w:color w:val="1E326E"/>
                <w:sz w:val="14"/>
              </w:rPr>
              <w:t>Our Reference</w:t>
            </w:r>
          </w:p>
        </w:tc>
      </w:tr>
      <w:tr w14:paraId="3859F95C">
        <w:tblPrEx>
          <w:tblCellMar>
            <w:top w:w="0" w:type="dxa"/>
            <w:left w:w="0" w:type="dxa"/>
            <w:bottom w:w="0" w:type="dxa"/>
            <w:right w:w="0" w:type="dxa"/>
          </w:tblCellMar>
        </w:tblPrEx>
        <w:tc>
          <w:tcPr>
            <w:tcW w:w="4546" w:type="dxa"/>
          </w:tcPr>
          <w:p w14:paraId="2652699E">
            <w:pPr>
              <w:rPr>
                <w:rFonts w:ascii="Georgia" w:hAnsi="Georgia" w:eastAsia="Georgia" w:cs="Georgia"/>
                <w:b/>
                <w:color w:val="1E326E"/>
                <w:sz w:val="28"/>
              </w:rPr>
            </w:pPr>
          </w:p>
        </w:tc>
        <w:tc>
          <w:tcPr>
            <w:tcW w:w="2279" w:type="dxa"/>
          </w:tcPr>
          <w:p w14:paraId="42AAA44C"/>
        </w:tc>
        <w:tc>
          <w:tcPr>
            <w:tcW w:w="2267" w:type="dxa"/>
          </w:tcPr>
          <w:p w14:paraId="276DBF8B">
            <w:pPr>
              <w:rPr>
                <w:color w:val="1E326E"/>
                <w:sz w:val="14"/>
              </w:rPr>
            </w:pPr>
            <w:r>
              <w:rPr>
                <w:color w:val="1E326E"/>
                <w:sz w:val="14"/>
                <w:highlight w:val="yellow"/>
              </w:rPr>
              <w:t>28060</w:t>
            </w:r>
            <w:r>
              <w:rPr>
                <w:color w:val="1E326E"/>
                <w:sz w:val="14"/>
                <w:highlight w:val="yellow"/>
              </w:rPr>
              <w:br w:type="textWrapping"/>
            </w:r>
            <w:r>
              <w:rPr>
                <w:color w:val="1E326E"/>
                <w:sz w:val="14"/>
                <w:highlight w:val="yellow"/>
              </w:rPr>
              <w:t>Revision 0</w:t>
            </w:r>
            <w:r>
              <w:rPr>
                <w:color w:val="1E326E"/>
                <w:sz w:val="14"/>
              </w:rPr>
              <w:br w:type="textWrapping"/>
            </w:r>
            <w:r>
              <w:rPr>
                <w:color w:val="1E326E"/>
                <w:sz w:val="14"/>
              </w:rPr>
              <w:t>(please state on orders)</w:t>
            </w:r>
          </w:p>
        </w:tc>
      </w:tr>
      <w:tr w14:paraId="7B8BB9B3">
        <w:tblPrEx>
          <w:tblCellMar>
            <w:top w:w="0" w:type="dxa"/>
            <w:left w:w="0" w:type="dxa"/>
            <w:bottom w:w="0" w:type="dxa"/>
            <w:right w:w="0" w:type="dxa"/>
          </w:tblCellMar>
        </w:tblPrEx>
        <w:tc>
          <w:tcPr>
            <w:tcW w:w="4546" w:type="dxa"/>
          </w:tcPr>
          <w:p w14:paraId="6EC00B4C">
            <w:pPr>
              <w:rPr>
                <w:rFonts w:ascii="Georgia" w:hAnsi="Georgia" w:eastAsia="Georgia" w:cs="Georgia"/>
                <w:b/>
                <w:color w:val="1E326E"/>
                <w:sz w:val="28"/>
              </w:rPr>
            </w:pPr>
            <w:r>
              <w:rPr>
                <w:rFonts w:ascii="Georgia" w:hAnsi="Georgia" w:eastAsia="Georgia" w:cs="Georgia"/>
                <w:b/>
                <w:color w:val="1E326E"/>
                <w:sz w:val="16"/>
                <w:highlight w:val="yellow"/>
              </w:rPr>
              <w:t>05.02.2026</w:t>
            </w:r>
          </w:p>
        </w:tc>
        <w:tc>
          <w:tcPr>
            <w:tcW w:w="2279" w:type="dxa"/>
          </w:tcPr>
          <w:p w14:paraId="587E4A62"/>
        </w:tc>
        <w:tc>
          <w:tcPr>
            <w:tcW w:w="2267" w:type="dxa"/>
          </w:tcPr>
          <w:p w14:paraId="7FF88177">
            <w:pPr>
              <w:rPr>
                <w:color w:val="1E326E"/>
                <w:sz w:val="14"/>
              </w:rPr>
            </w:pPr>
          </w:p>
        </w:tc>
      </w:tr>
    </w:tbl>
    <w:p w14:paraId="3A5FF174"/>
    <w:p w14:paraId="0DBEB880">
      <w:r>
        <w:rPr>
          <w:rFonts w:ascii="Georgia" w:hAnsi="Georgia" w:eastAsia="Georgia" w:cs="Georgia"/>
          <w:b/>
          <w:color w:val="1E326E"/>
          <w:sz w:val="16"/>
        </w:rPr>
        <w:t>Binding Offer</w:t>
      </w:r>
      <w:r>
        <w:t xml:space="preserve">: </w:t>
      </w:r>
      <w:r>
        <w:rPr>
          <w:rFonts w:ascii="Georgia" w:hAnsi="Georgia" w:eastAsia="Georgia" w:cs="Georgia"/>
          <w:b/>
          <w:color w:val="1E326E"/>
          <w:sz w:val="16"/>
          <w:highlight w:val="yellow"/>
        </w:rPr>
        <w:t>28060</w:t>
      </w:r>
    </w:p>
    <w:p w14:paraId="68B8B34E">
      <w:r>
        <w:rPr>
          <w:rFonts w:ascii="Georgia" w:hAnsi="Georgia" w:eastAsia="Georgia" w:cs="Georgia"/>
          <w:b/>
          <w:color w:val="1E326E"/>
          <w:sz w:val="28"/>
        </w:rPr>
        <w:t xml:space="preserve">Bonding Cables – </w:t>
      </w:r>
      <w:r>
        <w:rPr>
          <w:rFonts w:ascii="Georgia" w:hAnsi="Georgia" w:eastAsia="Georgia" w:cs="Georgia"/>
          <w:b/>
          <w:color w:val="1E326E"/>
          <w:sz w:val="28"/>
          <w:highlight w:val="yellow"/>
        </w:rPr>
        <w:t>[Project Name] [NKT Reference]</w:t>
      </w:r>
    </w:p>
    <w:p w14:paraId="10C3A901"/>
    <w:p w14:paraId="3D3753E5">
      <w:pPr>
        <w:pStyle w:val="27"/>
      </w:pPr>
    </w:p>
    <w:p w14:paraId="0E9A4B71">
      <w:pPr>
        <w:pStyle w:val="27"/>
      </w:pPr>
      <w:r>
        <w:t xml:space="preserve">Dear </w:t>
      </w:r>
      <w:r>
        <w:rPr>
          <w:szCs w:val="18"/>
          <w:highlight w:val="yellow"/>
        </w:rPr>
        <w:t xml:space="preserve">Mr. </w:t>
      </w:r>
      <w:r>
        <w:rPr>
          <w:highlight w:val="yellow"/>
        </w:rPr>
        <w:t>Araújo</w:t>
      </w:r>
      <w:r>
        <w:t>,</w:t>
      </w:r>
    </w:p>
    <w:p w14:paraId="504CD9F5">
      <w:pPr>
        <w:pStyle w:val="27"/>
      </w:pPr>
    </w:p>
    <w:p w14:paraId="2F5276C7">
      <w:pPr>
        <w:pStyle w:val="27"/>
      </w:pPr>
      <w:r>
        <w:t xml:space="preserve">Thank you for your enquiry on </w:t>
      </w:r>
      <w:r>
        <w:rPr>
          <w:highlight w:val="yellow"/>
        </w:rPr>
        <w:t>08. January 2026</w:t>
      </w:r>
      <w:r>
        <w:t>.</w:t>
      </w:r>
    </w:p>
    <w:p w14:paraId="09A383EB">
      <w:pPr>
        <w:pStyle w:val="27"/>
      </w:pPr>
      <w:r>
        <w:t>We are pleased to hear of your interest in our cables.</w:t>
      </w:r>
    </w:p>
    <w:p w14:paraId="610876C1">
      <w:pPr>
        <w:pStyle w:val="27"/>
      </w:pPr>
    </w:p>
    <w:p w14:paraId="1CC0C6A6">
      <w:pPr>
        <w:pStyle w:val="27"/>
      </w:pPr>
      <w:r>
        <w:t>In response to your request, we are pleased to offer you the following bonding cables:</w:t>
      </w:r>
    </w:p>
    <w:p w14:paraId="2A85EED5">
      <w:pPr>
        <w:pStyle w:val="27"/>
      </w:pPr>
    </w:p>
    <w:p w14:paraId="6F281D3E">
      <w:pPr>
        <w:pStyle w:val="27"/>
        <w:rPr>
          <w:highlight w:val="yellow"/>
          <w:lang w:val="da-DK"/>
        </w:rPr>
      </w:pPr>
      <w:r>
        <w:rPr>
          <w:highlight w:val="yellow"/>
          <w:lang w:val="da-DK"/>
        </w:rPr>
        <w:t>Type 2X2Y 1x120/120 RM 6/10 kV</w:t>
      </w:r>
    </w:p>
    <w:p w14:paraId="70F6D8BE">
      <w:pPr>
        <w:pStyle w:val="27"/>
        <w:rPr>
          <w:lang w:val="da-DK"/>
        </w:rPr>
      </w:pPr>
      <w:r>
        <w:rPr>
          <w:highlight w:val="yellow"/>
          <w:lang w:val="da-DK"/>
        </w:rPr>
        <w:t>Type 2X2Y 1x240 RMV 6/10kV</w:t>
      </w:r>
    </w:p>
    <w:p w14:paraId="48E5EFBA">
      <w:pPr>
        <w:pStyle w:val="27"/>
        <w:rPr>
          <w:lang w:val="da-DK"/>
        </w:rPr>
        <w:sectPr>
          <w:headerReference r:id="rId4" w:type="first"/>
          <w:footerReference r:id="rId6" w:type="first"/>
          <w:headerReference r:id="rId3" w:type="default"/>
          <w:footerReference r:id="rId5" w:type="default"/>
          <w:pgSz w:w="11906" w:h="16838"/>
          <w:pgMar w:top="1701" w:right="1417" w:bottom="1701" w:left="1417" w:header="1020" w:footer="567" w:gutter="0"/>
          <w:cols w:space="708" w:num="1"/>
          <w:titlePg/>
          <w:docGrid w:linePitch="360" w:charSpace="0"/>
        </w:sectPr>
      </w:pPr>
    </w:p>
    <w:p w14:paraId="382A9268">
      <w:pPr>
        <w:rPr>
          <w:lang w:val="da-DK"/>
        </w:rPr>
      </w:pPr>
      <w:bookmarkStart w:id="23" w:name="_GoBack"/>
      <w:r>
        <w:rPr>
          <w:lang w:val="da-DK"/>
        </w:rPr>
        <w:br w:type="page"/>
      </w:r>
    </w:p>
    <w:bookmarkEnd w:id="23"/>
    <w:sdt>
      <w:sdtPr>
        <w:id w:val="51669308"/>
        <w:docPartObj>
          <w:docPartGallery w:val="Table of Contents"/>
          <w:docPartUnique/>
        </w:docPartObj>
      </w:sdtPr>
      <w:sdtContent>
        <w:p w14:paraId="543F5F78">
          <w:pPr>
            <w:pStyle w:val="35"/>
          </w:pPr>
          <w:r>
            <w:t>Table of contents</w:t>
          </w:r>
        </w:p>
        <w:p w14:paraId="1E3E6792">
          <w:pPr>
            <w:pStyle w:val="17"/>
            <w:tabs>
              <w:tab w:val="left" w:pos="660"/>
              <w:tab w:val="left" w:pos="798"/>
            </w:tabs>
          </w:pPr>
          <w:r>
            <w:fldChar w:fldCharType="begin"/>
          </w:r>
          <w:r>
            <w:instrText xml:space="preserve">TOC \o "1-1" \h \z \u</w:instrText>
          </w:r>
          <w:r>
            <w:fldChar w:fldCharType="separate"/>
          </w:r>
          <w:r>
            <w:fldChar w:fldCharType="begin"/>
          </w:r>
          <w:r>
            <w:instrText xml:space="preserve"> HYPERLINK \l "_Toc73E9E2CDD31AED4E9D4D1958DF6DD7D8" \h </w:instrText>
          </w:r>
          <w:r>
            <w:fldChar w:fldCharType="separate"/>
          </w:r>
          <w:r>
            <w:t>1</w:t>
          </w:r>
          <w:r>
            <w:tab/>
          </w:r>
          <w:r>
            <w:t>Pricelist</w:t>
          </w:r>
          <w:r>
            <w:tab/>
          </w:r>
          <w:r>
            <w:fldChar w:fldCharType="begin"/>
          </w:r>
          <w:r>
            <w:instrText xml:space="preserve">PAGEREF _Toc73E9E2CDD31AED4E9D4D1958DF6DD7D8 \h</w:instrText>
          </w:r>
          <w:r>
            <w:fldChar w:fldCharType="separate"/>
          </w:r>
          <w:r>
            <w:t>3</w:t>
          </w:r>
          <w:r>
            <w:fldChar w:fldCharType="end"/>
          </w:r>
          <w:r>
            <w:fldChar w:fldCharType="end"/>
          </w:r>
        </w:p>
        <w:p w14:paraId="5B1811DF">
          <w:pPr>
            <w:pStyle w:val="17"/>
            <w:tabs>
              <w:tab w:val="left" w:pos="660"/>
              <w:tab w:val="left" w:pos="798"/>
            </w:tabs>
          </w:pPr>
          <w:r>
            <w:fldChar w:fldCharType="begin"/>
          </w:r>
          <w:r>
            <w:instrText xml:space="preserve"> HYPERLINK \l "_Toc60CBC38D4F531D47873F56C6428787CB" \h </w:instrText>
          </w:r>
          <w:r>
            <w:fldChar w:fldCharType="separate"/>
          </w:r>
          <w:r>
            <w:t>2</w:t>
          </w:r>
          <w:r>
            <w:tab/>
          </w:r>
          <w:r>
            <w:t>Production facility cables</w:t>
          </w:r>
          <w:r>
            <w:tab/>
          </w:r>
          <w:r>
            <w:fldChar w:fldCharType="begin"/>
          </w:r>
          <w:r>
            <w:instrText xml:space="preserve">PAGEREF _Toc60CBC38D4F531D47873F56C6428787CB \h</w:instrText>
          </w:r>
          <w:r>
            <w:fldChar w:fldCharType="separate"/>
          </w:r>
          <w:r>
            <w:t>4</w:t>
          </w:r>
          <w:r>
            <w:fldChar w:fldCharType="end"/>
          </w:r>
          <w:r>
            <w:fldChar w:fldCharType="end"/>
          </w:r>
        </w:p>
        <w:p w14:paraId="45727CF1">
          <w:pPr>
            <w:pStyle w:val="17"/>
            <w:tabs>
              <w:tab w:val="left" w:pos="660"/>
              <w:tab w:val="left" w:pos="798"/>
            </w:tabs>
          </w:pPr>
          <w:r>
            <w:fldChar w:fldCharType="begin"/>
          </w:r>
          <w:r>
            <w:instrText xml:space="preserve"> HYPERLINK \l "_Toc43907F4C2E9BAF43BDFE3162B64B85A6" \h </w:instrText>
          </w:r>
          <w:r>
            <w:fldChar w:fldCharType="separate"/>
          </w:r>
          <w:r>
            <w:t>3</w:t>
          </w:r>
          <w:r>
            <w:tab/>
          </w:r>
          <w:r>
            <w:t>Delivery</w:t>
          </w:r>
          <w:r>
            <w:tab/>
          </w:r>
          <w:r>
            <w:fldChar w:fldCharType="begin"/>
          </w:r>
          <w:r>
            <w:instrText xml:space="preserve">PAGEREF _Toc43907F4C2E9BAF43BDFE3162B64B85A6 \h</w:instrText>
          </w:r>
          <w:r>
            <w:fldChar w:fldCharType="separate"/>
          </w:r>
          <w:r>
            <w:t>4</w:t>
          </w:r>
          <w:r>
            <w:fldChar w:fldCharType="end"/>
          </w:r>
          <w:r>
            <w:fldChar w:fldCharType="end"/>
          </w:r>
        </w:p>
        <w:p w14:paraId="542FF6BA">
          <w:pPr>
            <w:pStyle w:val="17"/>
            <w:tabs>
              <w:tab w:val="left" w:pos="660"/>
              <w:tab w:val="left" w:pos="798"/>
            </w:tabs>
          </w:pPr>
          <w:r>
            <w:fldChar w:fldCharType="begin"/>
          </w:r>
          <w:r>
            <w:instrText xml:space="preserve"> HYPERLINK \l "_Toc3B3C59BFF1B0034395D8CBA55EB45EAB" \h </w:instrText>
          </w:r>
          <w:r>
            <w:fldChar w:fldCharType="separate"/>
          </w:r>
          <w:r>
            <w:t>4</w:t>
          </w:r>
          <w:r>
            <w:tab/>
          </w:r>
          <w:r>
            <w:t>Delivery period</w:t>
          </w:r>
          <w:r>
            <w:tab/>
          </w:r>
          <w:r>
            <w:fldChar w:fldCharType="begin"/>
          </w:r>
          <w:r>
            <w:instrText xml:space="preserve">PAGEREF _Toc3B3C59BFF1B0034395D8CBA55EB45EAB \h</w:instrText>
          </w:r>
          <w:r>
            <w:fldChar w:fldCharType="separate"/>
          </w:r>
          <w:r>
            <w:t>4</w:t>
          </w:r>
          <w:r>
            <w:fldChar w:fldCharType="end"/>
          </w:r>
          <w:r>
            <w:fldChar w:fldCharType="end"/>
          </w:r>
        </w:p>
        <w:p w14:paraId="4F191ADB">
          <w:pPr>
            <w:pStyle w:val="17"/>
            <w:tabs>
              <w:tab w:val="left" w:pos="660"/>
              <w:tab w:val="left" w:pos="798"/>
            </w:tabs>
          </w:pPr>
          <w:r>
            <w:fldChar w:fldCharType="begin"/>
          </w:r>
          <w:r>
            <w:instrText xml:space="preserve"> HYPERLINK \l "_Toc7DECE0BF61B3C147AC715367D47C8E17" \h </w:instrText>
          </w:r>
          <w:r>
            <w:fldChar w:fldCharType="separate"/>
          </w:r>
          <w:r>
            <w:t>5</w:t>
          </w:r>
          <w:r>
            <w:tab/>
          </w:r>
          <w:r>
            <w:t>Prices</w:t>
          </w:r>
          <w:r>
            <w:tab/>
          </w:r>
          <w:r>
            <w:fldChar w:fldCharType="begin"/>
          </w:r>
          <w:r>
            <w:instrText xml:space="preserve">PAGEREF _Toc7DECE0BF61B3C147AC715367D47C8E17 \h</w:instrText>
          </w:r>
          <w:r>
            <w:fldChar w:fldCharType="separate"/>
          </w:r>
          <w:r>
            <w:t>4</w:t>
          </w:r>
          <w:r>
            <w:fldChar w:fldCharType="end"/>
          </w:r>
          <w:r>
            <w:fldChar w:fldCharType="end"/>
          </w:r>
        </w:p>
        <w:p w14:paraId="112822DF">
          <w:pPr>
            <w:pStyle w:val="17"/>
            <w:tabs>
              <w:tab w:val="left" w:pos="660"/>
              <w:tab w:val="left" w:pos="798"/>
            </w:tabs>
          </w:pPr>
          <w:r>
            <w:fldChar w:fldCharType="begin"/>
          </w:r>
          <w:r>
            <w:instrText xml:space="preserve"> HYPERLINK \l "_TocD86A19EE9B03D64CB090DF250B095699" \h </w:instrText>
          </w:r>
          <w:r>
            <w:fldChar w:fldCharType="separate"/>
          </w:r>
          <w:r>
            <w:t>6</w:t>
          </w:r>
          <w:r>
            <w:tab/>
          </w:r>
          <w:r>
            <w:t>Terms of payment</w:t>
          </w:r>
          <w:r>
            <w:tab/>
          </w:r>
          <w:r>
            <w:fldChar w:fldCharType="begin"/>
          </w:r>
          <w:r>
            <w:instrText xml:space="preserve">PAGEREF _TocD86A19EE9B03D64CB090DF250B095699 \h</w:instrText>
          </w:r>
          <w:r>
            <w:fldChar w:fldCharType="separate"/>
          </w:r>
          <w:r>
            <w:t>4</w:t>
          </w:r>
          <w:r>
            <w:fldChar w:fldCharType="end"/>
          </w:r>
          <w:r>
            <w:fldChar w:fldCharType="end"/>
          </w:r>
        </w:p>
        <w:p w14:paraId="4BCE7A49">
          <w:pPr>
            <w:pStyle w:val="17"/>
            <w:tabs>
              <w:tab w:val="left" w:pos="660"/>
              <w:tab w:val="left" w:pos="798"/>
            </w:tabs>
          </w:pPr>
          <w:r>
            <w:fldChar w:fldCharType="begin"/>
          </w:r>
          <w:r>
            <w:instrText xml:space="preserve"> HYPERLINK \l "_Toc683C9996C5BD504DA8DF1717C561BBC8" \h </w:instrText>
          </w:r>
          <w:r>
            <w:fldChar w:fldCharType="separate"/>
          </w:r>
          <w:r>
            <w:t>7</w:t>
          </w:r>
          <w:r>
            <w:tab/>
          </w:r>
          <w:r>
            <w:t>Metal Adjustment</w:t>
          </w:r>
          <w:r>
            <w:tab/>
          </w:r>
          <w:r>
            <w:fldChar w:fldCharType="begin"/>
          </w:r>
          <w:r>
            <w:instrText xml:space="preserve">PAGEREF _Toc683C9996C5BD504DA8DF1717C561BBC8 \h</w:instrText>
          </w:r>
          <w:r>
            <w:fldChar w:fldCharType="separate"/>
          </w:r>
          <w:r>
            <w:t>4</w:t>
          </w:r>
          <w:r>
            <w:fldChar w:fldCharType="end"/>
          </w:r>
          <w:r>
            <w:fldChar w:fldCharType="end"/>
          </w:r>
        </w:p>
        <w:p w14:paraId="4B3621FA">
          <w:pPr>
            <w:pStyle w:val="17"/>
            <w:tabs>
              <w:tab w:val="left" w:pos="660"/>
              <w:tab w:val="left" w:pos="798"/>
            </w:tabs>
          </w:pPr>
          <w:r>
            <w:fldChar w:fldCharType="begin"/>
          </w:r>
          <w:r>
            <w:instrText xml:space="preserve"> HYPERLINK \l "_Toc8A402BE3C0F3E645B680D409B25AE1F1" \h </w:instrText>
          </w:r>
          <w:r>
            <w:fldChar w:fldCharType="separate"/>
          </w:r>
          <w:r>
            <w:t>8</w:t>
          </w:r>
          <w:r>
            <w:tab/>
          </w:r>
          <w:r>
            <w:t>Warranty</w:t>
          </w:r>
          <w:r>
            <w:tab/>
          </w:r>
          <w:r>
            <w:fldChar w:fldCharType="begin"/>
          </w:r>
          <w:r>
            <w:instrText xml:space="preserve">PAGEREF _Toc8A402BE3C0F3E645B680D409B25AE1F1 \h</w:instrText>
          </w:r>
          <w:r>
            <w:fldChar w:fldCharType="separate"/>
          </w:r>
          <w:r>
            <w:t>5</w:t>
          </w:r>
          <w:r>
            <w:fldChar w:fldCharType="end"/>
          </w:r>
          <w:r>
            <w:fldChar w:fldCharType="end"/>
          </w:r>
        </w:p>
        <w:p w14:paraId="76C25D64">
          <w:pPr>
            <w:pStyle w:val="17"/>
            <w:tabs>
              <w:tab w:val="left" w:pos="660"/>
              <w:tab w:val="left" w:pos="798"/>
            </w:tabs>
          </w:pPr>
          <w:r>
            <w:fldChar w:fldCharType="begin"/>
          </w:r>
          <w:r>
            <w:instrText xml:space="preserve"> HYPERLINK \l "_TocEF5D142754DDE540BC88071B26807ACC" \h </w:instrText>
          </w:r>
          <w:r>
            <w:fldChar w:fldCharType="separate"/>
          </w:r>
          <w:r>
            <w:t>9</w:t>
          </w:r>
          <w:r>
            <w:tab/>
          </w:r>
          <w:r>
            <w:t>Limitation of Liability</w:t>
          </w:r>
          <w:r>
            <w:tab/>
          </w:r>
          <w:r>
            <w:fldChar w:fldCharType="begin"/>
          </w:r>
          <w:r>
            <w:instrText xml:space="preserve">PAGEREF _TocEF5D142754DDE540BC88071B26807ACC \h</w:instrText>
          </w:r>
          <w:r>
            <w:fldChar w:fldCharType="separate"/>
          </w:r>
          <w:r>
            <w:t>5</w:t>
          </w:r>
          <w:r>
            <w:fldChar w:fldCharType="end"/>
          </w:r>
          <w:r>
            <w:fldChar w:fldCharType="end"/>
          </w:r>
        </w:p>
        <w:p w14:paraId="1985C2E9">
          <w:pPr>
            <w:pStyle w:val="17"/>
            <w:tabs>
              <w:tab w:val="left" w:pos="660"/>
              <w:tab w:val="left" w:pos="798"/>
            </w:tabs>
          </w:pPr>
          <w:r>
            <w:fldChar w:fldCharType="begin"/>
          </w:r>
          <w:r>
            <w:instrText xml:space="preserve"> HYPERLINK \l "_Toc6797D2F25289F44E85350623BE8504BF" \h </w:instrText>
          </w:r>
          <w:r>
            <w:fldChar w:fldCharType="separate"/>
          </w:r>
          <w:r>
            <w:t>10</w:t>
          </w:r>
          <w:r>
            <w:tab/>
          </w:r>
          <w:r>
            <w:t>Validity</w:t>
          </w:r>
          <w:r>
            <w:tab/>
          </w:r>
          <w:r>
            <w:fldChar w:fldCharType="begin"/>
          </w:r>
          <w:r>
            <w:instrText xml:space="preserve">PAGEREF _Toc6797D2F25289F44E85350623BE8504BF \h</w:instrText>
          </w:r>
          <w:r>
            <w:fldChar w:fldCharType="separate"/>
          </w:r>
          <w:r>
            <w:t>5</w:t>
          </w:r>
          <w:r>
            <w:fldChar w:fldCharType="end"/>
          </w:r>
          <w:r>
            <w:fldChar w:fldCharType="end"/>
          </w:r>
        </w:p>
        <w:p w14:paraId="3B93289B">
          <w:pPr>
            <w:pStyle w:val="17"/>
            <w:tabs>
              <w:tab w:val="left" w:pos="660"/>
              <w:tab w:val="left" w:pos="798"/>
            </w:tabs>
          </w:pPr>
          <w:r>
            <w:fldChar w:fldCharType="begin"/>
          </w:r>
          <w:r>
            <w:instrText xml:space="preserve"> HYPERLINK \l "_TocE374016EECCF71488B0585464207FC4D" \h </w:instrText>
          </w:r>
          <w:r>
            <w:fldChar w:fldCharType="separate"/>
          </w:r>
          <w:r>
            <w:t>11</w:t>
          </w:r>
          <w:r>
            <w:tab/>
          </w:r>
          <w:r>
            <w:t>Contact</w:t>
          </w:r>
          <w:r>
            <w:tab/>
          </w:r>
          <w:r>
            <w:fldChar w:fldCharType="begin"/>
          </w:r>
          <w:r>
            <w:instrText xml:space="preserve">PAGEREF _TocE374016EECCF71488B0585464207FC4D \h</w:instrText>
          </w:r>
          <w:r>
            <w:fldChar w:fldCharType="separate"/>
          </w:r>
          <w:r>
            <w:t>6</w:t>
          </w:r>
          <w:r>
            <w:fldChar w:fldCharType="end"/>
          </w:r>
          <w:r>
            <w:fldChar w:fldCharType="end"/>
          </w:r>
        </w:p>
        <w:p w14:paraId="1789927C">
          <w:pPr>
            <w:tabs>
              <w:tab w:val="left" w:pos="660"/>
              <w:tab w:val="left" w:pos="798"/>
            </w:tabs>
          </w:pPr>
          <w:r>
            <w:fldChar w:fldCharType="end"/>
          </w:r>
        </w:p>
      </w:sdtContent>
    </w:sdt>
    <w:p w14:paraId="13C5602A">
      <w:pPr>
        <w:sectPr>
          <w:headerReference r:id="rId7" w:type="default"/>
          <w:footerReference r:id="rId8" w:type="default"/>
          <w:type w:val="continuous"/>
          <w:pgSz w:w="11906" w:h="16838"/>
          <w:pgMar w:top="1701" w:right="1417" w:bottom="1701" w:left="1417" w:header="1020" w:footer="567" w:gutter="0"/>
          <w:cols w:space="708" w:num="1"/>
          <w:docGrid w:linePitch="360" w:charSpace="0"/>
        </w:sectPr>
      </w:pPr>
    </w:p>
    <w:tbl>
      <w:tblPr>
        <w:tblStyle w:val="36"/>
        <w:tblW w:w="0" w:type="auto"/>
        <w:tblInd w:w="0" w:type="dxa"/>
        <w:tblLayout w:type="fixed"/>
        <w:tblCellMar>
          <w:top w:w="0" w:type="dxa"/>
          <w:left w:w="107" w:type="dxa"/>
          <w:bottom w:w="0" w:type="dxa"/>
          <w:right w:w="107" w:type="dxa"/>
        </w:tblCellMar>
      </w:tblPr>
      <w:tblGrid>
        <w:gridCol w:w="10"/>
        <w:gridCol w:w="765"/>
        <w:gridCol w:w="3441"/>
        <w:gridCol w:w="329"/>
        <w:gridCol w:w="918"/>
        <w:gridCol w:w="822"/>
        <w:gridCol w:w="566"/>
        <w:gridCol w:w="1020"/>
        <w:gridCol w:w="1219"/>
        <w:gridCol w:w="39"/>
      </w:tblGrid>
      <w:tr w14:paraId="06338D20">
        <w:tblPrEx>
          <w:tblCellMar>
            <w:top w:w="0" w:type="dxa"/>
            <w:left w:w="107" w:type="dxa"/>
            <w:bottom w:w="0" w:type="dxa"/>
            <w:right w:w="107" w:type="dxa"/>
          </w:tblCellMar>
        </w:tblPrEx>
        <w:trPr>
          <w:gridAfter w:val="1"/>
          <w:wAfter w:w="39" w:type="dxa"/>
        </w:trPr>
        <w:tc>
          <w:tcPr>
            <w:tcW w:w="4545" w:type="dxa"/>
            <w:gridSpan w:val="4"/>
          </w:tcPr>
          <w:p w14:paraId="1606D8D1">
            <w:pPr>
              <w:pStyle w:val="2"/>
              <w:pageBreakBefore/>
              <w:rPr>
                <w:sz w:val="28"/>
              </w:rPr>
            </w:pPr>
            <w:bookmarkStart w:id="0" w:name="_Toc73E9E2CDD31AED4E9D4D1958DF6DD7D8"/>
            <w:bookmarkStart w:id="1" w:name="_Ref221283457"/>
            <w:r>
              <w:rPr>
                <w:sz w:val="28"/>
              </w:rPr>
              <w:t>Pricelist</w:t>
            </w:r>
            <w:bookmarkEnd w:id="0"/>
            <w:bookmarkEnd w:id="1"/>
          </w:p>
        </w:tc>
        <w:tc>
          <w:tcPr>
            <w:tcW w:w="4545" w:type="dxa"/>
            <w:gridSpan w:val="5"/>
            <w:vAlign w:val="center"/>
          </w:tcPr>
          <w:p w14:paraId="1FB88E30">
            <w:pPr>
              <w:jc w:val="right"/>
            </w:pPr>
          </w:p>
        </w:tc>
      </w:tr>
      <w:tr w14:paraId="57B48AF0">
        <w:tblPrEx>
          <w:tblBorders>
            <w:top w:val="single" w:color="auto" w:sz="8" w:space="0"/>
            <w:left w:val="dotted" w:color="auto" w:sz="8" w:space="0"/>
            <w:bottom w:val="single" w:color="auto" w:sz="8" w:space="0"/>
            <w:right w:val="dotted" w:color="auto" w:sz="8" w:space="0"/>
            <w:insideH w:val="single" w:color="auto" w:sz="8" w:space="0"/>
            <w:insideV w:val="dotted" w:color="auto" w:sz="8" w:space="0"/>
          </w:tblBorders>
          <w:tblCellMar>
            <w:top w:w="56" w:type="dxa"/>
            <w:left w:w="56" w:type="dxa"/>
            <w:bottom w:w="56" w:type="dxa"/>
            <w:right w:w="56" w:type="dxa"/>
          </w:tblCellMar>
        </w:tblPrEx>
        <w:trPr>
          <w:gridBefore w:val="1"/>
          <w:wBefore w:w="10" w:type="dxa"/>
          <w:tblHeader/>
        </w:trPr>
        <w:tc>
          <w:tcPr>
            <w:tcW w:w="765" w:type="dxa"/>
            <w:tcMar>
              <w:top w:w="0" w:type="dxa"/>
              <w:left w:w="0" w:type="dxa"/>
              <w:bottom w:w="0" w:type="dxa"/>
              <w:right w:w="0" w:type="dxa"/>
            </w:tcMar>
            <w:vAlign w:val="center"/>
          </w:tcPr>
          <w:p w14:paraId="02B9B542">
            <w:pPr>
              <w:jc w:val="center"/>
              <w:rPr>
                <w:rFonts w:ascii="Georgia" w:hAnsi="Georgia" w:eastAsia="Georgia" w:cs="Georgia"/>
                <w:b/>
                <w:color w:val="1E326E"/>
              </w:rPr>
            </w:pPr>
            <w:r>
              <w:rPr>
                <w:rFonts w:ascii="Georgia" w:hAnsi="Georgia" w:eastAsia="Georgia" w:cs="Georgia"/>
                <w:color w:val="1E326E"/>
                <w:sz w:val="14"/>
              </w:rPr>
              <w:t>Item-No.</w:t>
            </w:r>
          </w:p>
        </w:tc>
        <w:tc>
          <w:tcPr>
            <w:tcW w:w="3441" w:type="dxa"/>
            <w:tcMar>
              <w:top w:w="0" w:type="dxa"/>
              <w:left w:w="0" w:type="dxa"/>
              <w:bottom w:w="0" w:type="dxa"/>
              <w:right w:w="0" w:type="dxa"/>
            </w:tcMar>
            <w:vAlign w:val="center"/>
          </w:tcPr>
          <w:p w14:paraId="296B5409">
            <w:pPr>
              <w:jc w:val="center"/>
              <w:rPr>
                <w:rFonts w:ascii="Georgia" w:hAnsi="Georgia" w:eastAsia="Georgia" w:cs="Georgia"/>
                <w:b/>
                <w:color w:val="1E326E"/>
              </w:rPr>
            </w:pPr>
            <w:r>
              <w:rPr>
                <w:rFonts w:ascii="Georgia" w:hAnsi="Georgia" w:eastAsia="Georgia" w:cs="Georgia"/>
                <w:color w:val="1E326E"/>
                <w:sz w:val="14"/>
              </w:rPr>
              <w:t>Description</w:t>
            </w:r>
          </w:p>
        </w:tc>
        <w:tc>
          <w:tcPr>
            <w:tcW w:w="1247" w:type="dxa"/>
            <w:gridSpan w:val="2"/>
            <w:tcBorders>
              <w:top w:val="single" w:color="auto" w:sz="8" w:space="0"/>
              <w:bottom w:val="single" w:color="auto" w:sz="8" w:space="0"/>
            </w:tcBorders>
            <w:tcMar>
              <w:top w:w="0" w:type="dxa"/>
              <w:left w:w="0" w:type="dxa"/>
              <w:bottom w:w="0" w:type="dxa"/>
              <w:right w:w="0" w:type="dxa"/>
            </w:tcMar>
            <w:vAlign w:val="center"/>
          </w:tcPr>
          <w:p w14:paraId="15839373">
            <w:pPr>
              <w:jc w:val="center"/>
              <w:rPr>
                <w:rFonts w:ascii="Georgia" w:hAnsi="Georgia" w:eastAsia="Georgia" w:cs="Georgia"/>
                <w:b/>
                <w:color w:val="1E326E"/>
              </w:rPr>
            </w:pPr>
            <w:r>
              <w:rPr>
                <w:rFonts w:ascii="Georgia" w:hAnsi="Georgia" w:eastAsia="Georgia" w:cs="Georgia"/>
                <w:color w:val="1E326E"/>
                <w:sz w:val="14"/>
              </w:rPr>
              <w:t>Drawing</w:t>
            </w:r>
          </w:p>
        </w:tc>
        <w:tc>
          <w:tcPr>
            <w:tcW w:w="822" w:type="dxa"/>
            <w:tcMar>
              <w:top w:w="0" w:type="dxa"/>
              <w:left w:w="0" w:type="dxa"/>
              <w:bottom w:w="0" w:type="dxa"/>
              <w:right w:w="0" w:type="dxa"/>
            </w:tcMar>
            <w:vAlign w:val="center"/>
          </w:tcPr>
          <w:p w14:paraId="73BC5367">
            <w:pPr>
              <w:jc w:val="center"/>
              <w:rPr>
                <w:rFonts w:ascii="Georgia" w:hAnsi="Georgia" w:eastAsia="Georgia" w:cs="Georgia"/>
                <w:b/>
                <w:color w:val="1E326E"/>
              </w:rPr>
            </w:pPr>
            <w:r>
              <w:rPr>
                <w:rFonts w:ascii="Georgia" w:hAnsi="Georgia" w:eastAsia="Georgia" w:cs="Georgia"/>
                <w:color w:val="1E326E"/>
                <w:sz w:val="14"/>
              </w:rPr>
              <w:t>Qty.</w:t>
            </w:r>
          </w:p>
        </w:tc>
        <w:tc>
          <w:tcPr>
            <w:tcW w:w="566" w:type="dxa"/>
            <w:tcMar>
              <w:top w:w="0" w:type="dxa"/>
              <w:left w:w="0" w:type="dxa"/>
              <w:bottom w:w="0" w:type="dxa"/>
              <w:right w:w="0" w:type="dxa"/>
            </w:tcMar>
            <w:vAlign w:val="center"/>
          </w:tcPr>
          <w:p w14:paraId="1AD89234">
            <w:pPr>
              <w:jc w:val="center"/>
              <w:rPr>
                <w:rFonts w:ascii="Georgia" w:hAnsi="Georgia" w:eastAsia="Georgia" w:cs="Georgia"/>
                <w:b/>
                <w:color w:val="1E326E"/>
              </w:rPr>
            </w:pPr>
            <w:r>
              <w:rPr>
                <w:rFonts w:ascii="Georgia" w:hAnsi="Georgia" w:eastAsia="Georgia" w:cs="Georgia"/>
                <w:color w:val="1E326E"/>
                <w:sz w:val="14"/>
              </w:rPr>
              <w:t>Unit</w:t>
            </w:r>
          </w:p>
        </w:tc>
        <w:tc>
          <w:tcPr>
            <w:tcW w:w="1020" w:type="dxa"/>
            <w:tcMar>
              <w:top w:w="0" w:type="dxa"/>
              <w:left w:w="0" w:type="dxa"/>
              <w:bottom w:w="0" w:type="dxa"/>
              <w:right w:w="0" w:type="dxa"/>
            </w:tcMar>
            <w:vAlign w:val="center"/>
          </w:tcPr>
          <w:p w14:paraId="016D8B11">
            <w:pPr>
              <w:jc w:val="center"/>
              <w:rPr>
                <w:rFonts w:ascii="Georgia" w:hAnsi="Georgia" w:eastAsia="Georgia" w:cs="Georgia"/>
                <w:b/>
                <w:color w:val="1E326E"/>
              </w:rPr>
            </w:pPr>
            <w:r>
              <w:rPr>
                <w:rFonts w:ascii="Georgia" w:hAnsi="Georgia" w:eastAsia="Georgia" w:cs="Georgia"/>
                <w:color w:val="1E326E"/>
                <w:sz w:val="14"/>
              </w:rPr>
              <w:t>Unit Price</w:t>
            </w:r>
          </w:p>
          <w:p w14:paraId="627CCB2A">
            <w:pPr>
              <w:jc w:val="center"/>
              <w:rPr>
                <w:rFonts w:ascii="Georgia" w:hAnsi="Georgia" w:eastAsia="Georgia" w:cs="Georgia"/>
                <w:b/>
                <w:color w:val="1E326E"/>
              </w:rPr>
            </w:pPr>
            <w:r>
              <w:rPr>
                <w:rFonts w:ascii="Georgia" w:hAnsi="Georgia" w:eastAsia="Georgia" w:cs="Georgia"/>
                <w:color w:val="1E326E"/>
                <w:sz w:val="14"/>
              </w:rPr>
              <w:t>EUR</w:t>
            </w:r>
          </w:p>
        </w:tc>
        <w:tc>
          <w:tcPr>
            <w:tcW w:w="1258" w:type="dxa"/>
            <w:gridSpan w:val="2"/>
            <w:tcBorders>
              <w:right w:val="single" w:color="auto" w:sz="8" w:space="0"/>
            </w:tcBorders>
            <w:tcMar>
              <w:top w:w="0" w:type="dxa"/>
              <w:left w:w="0" w:type="dxa"/>
              <w:bottom w:w="0" w:type="dxa"/>
              <w:right w:w="0" w:type="dxa"/>
            </w:tcMar>
            <w:vAlign w:val="center"/>
          </w:tcPr>
          <w:p w14:paraId="688AE8BE">
            <w:pPr>
              <w:jc w:val="center"/>
              <w:rPr>
                <w:rFonts w:ascii="Georgia" w:hAnsi="Georgia" w:eastAsia="Georgia" w:cs="Georgia"/>
                <w:b/>
                <w:color w:val="1E326E"/>
              </w:rPr>
            </w:pPr>
            <w:r>
              <w:rPr>
                <w:rFonts w:ascii="Georgia" w:hAnsi="Georgia" w:eastAsia="Georgia" w:cs="Georgia"/>
                <w:color w:val="1E326E"/>
                <w:sz w:val="14"/>
              </w:rPr>
              <w:t>Total</w:t>
            </w:r>
          </w:p>
          <w:p w14:paraId="340FA833">
            <w:pPr>
              <w:jc w:val="center"/>
              <w:rPr>
                <w:rFonts w:ascii="Georgia" w:hAnsi="Georgia" w:eastAsia="Georgia" w:cs="Georgia"/>
                <w:b/>
                <w:color w:val="1E326E"/>
              </w:rPr>
            </w:pPr>
            <w:r>
              <w:rPr>
                <w:rFonts w:ascii="Georgia" w:hAnsi="Georgia" w:eastAsia="Georgia" w:cs="Georgia"/>
                <w:color w:val="1E326E"/>
                <w:sz w:val="14"/>
              </w:rPr>
              <w:t>EUR</w:t>
            </w:r>
          </w:p>
        </w:tc>
      </w:tr>
      <w:tr w14:paraId="7FA617CB">
        <w:tblPrEx>
          <w:tblBorders>
            <w:top w:val="single" w:color="auto" w:sz="8" w:space="0"/>
            <w:left w:val="dotted" w:color="auto" w:sz="8" w:space="0"/>
            <w:bottom w:val="single" w:color="auto" w:sz="8" w:space="0"/>
            <w:right w:val="dotted" w:color="auto" w:sz="8" w:space="0"/>
            <w:insideH w:val="single" w:color="auto" w:sz="8" w:space="0"/>
            <w:insideV w:val="dotted" w:color="auto" w:sz="8" w:space="0"/>
          </w:tblBorders>
          <w:tblCellMar>
            <w:top w:w="56" w:type="dxa"/>
            <w:left w:w="56" w:type="dxa"/>
            <w:bottom w:w="56" w:type="dxa"/>
            <w:right w:w="56" w:type="dxa"/>
          </w:tblCellMar>
        </w:tblPrEx>
        <w:trPr>
          <w:gridBefore w:val="1"/>
          <w:wBefore w:w="10" w:type="dxa"/>
          <w:cantSplit/>
        </w:trPr>
        <w:tc>
          <w:tcPr>
            <w:tcW w:w="765" w:type="dxa"/>
            <w:tcBorders>
              <w:top w:val="single" w:color="auto" w:sz="8" w:space="0"/>
              <w:bottom w:val="nil"/>
            </w:tcBorders>
            <w:vAlign w:val="center"/>
          </w:tcPr>
          <w:p w14:paraId="4442EDEE">
            <w:pPr>
              <w:rPr>
                <w:rFonts w:ascii="Georgia" w:hAnsi="Georgia" w:eastAsia="Georgia" w:cs="Georgia"/>
                <w:b/>
                <w:color w:val="1E326E"/>
              </w:rPr>
            </w:pPr>
            <w:r>
              <w:rPr>
                <w:b/>
                <w:color w:val="1E326E"/>
                <w:sz w:val="16"/>
              </w:rPr>
              <w:t>1.1.1</w:t>
            </w:r>
            <w:r>
              <w:rPr>
                <w:rFonts w:ascii="Georgia" w:hAnsi="Georgia" w:eastAsia="Georgia" w:cs="Georgia"/>
                <w:b/>
                <w:color w:val="1E326E"/>
              </w:rPr>
              <w:br w:type="textWrapping"/>
            </w:r>
          </w:p>
        </w:tc>
        <w:tc>
          <w:tcPr>
            <w:tcW w:w="3441" w:type="dxa"/>
            <w:tcBorders>
              <w:top w:val="single" w:color="auto" w:sz="8" w:space="0"/>
              <w:bottom w:val="nil"/>
            </w:tcBorders>
          </w:tcPr>
          <w:p w14:paraId="56AEAE02">
            <w:pPr>
              <w:tabs>
                <w:tab w:val="right" w:pos="2789"/>
              </w:tabs>
              <w:rPr>
                <w:highlight w:val="yellow"/>
              </w:rPr>
            </w:pPr>
            <w:r>
              <w:rPr>
                <w:sz w:val="16"/>
                <w:highlight w:val="yellow"/>
              </w:rPr>
              <w:t>2X2Y 1x240 RM 6/10 kV</w:t>
            </w:r>
            <w:r>
              <w:rPr>
                <w:highlight w:val="yellow"/>
              </w:rPr>
              <w:br w:type="textWrapping"/>
            </w:r>
            <w:r>
              <w:rPr>
                <w:sz w:val="16"/>
                <w:highlight w:val="yellow"/>
              </w:rPr>
              <w:t xml:space="preserve">Bonding Cable watertight </w:t>
            </w:r>
          </w:p>
          <w:p w14:paraId="065667CF">
            <w:pPr>
              <w:tabs>
                <w:tab w:val="right" w:pos="2789"/>
              </w:tabs>
              <w:rPr>
                <w:highlight w:val="yellow"/>
              </w:rPr>
            </w:pPr>
            <w:r>
              <w:rPr>
                <w:sz w:val="16"/>
                <w:highlight w:val="yellow"/>
              </w:rPr>
              <w:t xml:space="preserve">Stock cable - subject to prior sale </w:t>
            </w:r>
          </w:p>
          <w:p w14:paraId="3BD924F3">
            <w:pPr>
              <w:tabs>
                <w:tab w:val="right" w:pos="2789"/>
              </w:tabs>
            </w:pPr>
            <w:r>
              <w:rPr>
                <w:sz w:val="16"/>
              </w:rPr>
              <w:t xml:space="preserve">Supplier: </w:t>
            </w:r>
            <w:r>
              <w:rPr>
                <w:sz w:val="16"/>
                <w:highlight w:val="yellow"/>
              </w:rPr>
              <w:t>Universal Cables Ltd.</w:t>
            </w:r>
          </w:p>
          <w:p w14:paraId="146B5353">
            <w:pPr>
              <w:tabs>
                <w:tab w:val="right" w:pos="2789"/>
              </w:tabs>
            </w:pPr>
          </w:p>
          <w:p w14:paraId="746850D8">
            <w:pPr>
              <w:tabs>
                <w:tab w:val="right" w:pos="2789"/>
              </w:tabs>
            </w:pPr>
          </w:p>
          <w:p w14:paraId="60F2696D">
            <w:pPr>
              <w:tabs>
                <w:tab w:val="right" w:pos="2789"/>
              </w:tabs>
            </w:pPr>
            <w:r>
              <w:rPr>
                <w:sz w:val="16"/>
              </w:rPr>
              <w:t>Metal Content</w:t>
            </w:r>
          </w:p>
          <w:p w14:paraId="4EC35749">
            <w:pPr>
              <w:tabs>
                <w:tab w:val="right" w:pos="2789"/>
              </w:tabs>
            </w:pPr>
            <w:r>
              <w:rPr>
                <w:sz w:val="16"/>
                <w:highlight w:val="yellow"/>
              </w:rPr>
              <w:t>Cu: 2.048,00 kg/km</w:t>
            </w:r>
          </w:p>
          <w:p w14:paraId="36F85972">
            <w:pPr>
              <w:tabs>
                <w:tab w:val="right" w:pos="2789"/>
              </w:tabs>
            </w:pPr>
          </w:p>
          <w:p w14:paraId="708C40A7">
            <w:pPr>
              <w:tabs>
                <w:tab w:val="right" w:pos="2789"/>
              </w:tabs>
            </w:pPr>
            <w:r>
              <w:rPr>
                <w:sz w:val="16"/>
              </w:rPr>
              <w:t xml:space="preserve">Delivery length: </w:t>
            </w:r>
            <w:r>
              <w:rPr>
                <w:sz w:val="16"/>
                <w:highlight w:val="yellow"/>
              </w:rPr>
              <w:t>1 drum with 650 m</w:t>
            </w:r>
          </w:p>
          <w:p w14:paraId="4F99497E">
            <w:pPr>
              <w:tabs>
                <w:tab w:val="right" w:pos="2789"/>
              </w:tabs>
            </w:pPr>
            <w:r>
              <w:rPr>
                <w:sz w:val="16"/>
              </w:rPr>
              <w:t xml:space="preserve">Drum Type: </w:t>
            </w:r>
            <w:r>
              <w:rPr>
                <w:sz w:val="16"/>
                <w:highlight w:val="yellow"/>
              </w:rPr>
              <w:t>Wooden</w:t>
            </w:r>
            <w:r>
              <w:rPr>
                <w:sz w:val="16"/>
              </w:rPr>
              <w:t xml:space="preserve"> </w:t>
            </w:r>
          </w:p>
          <w:p w14:paraId="46A5464F">
            <w:pPr>
              <w:tabs>
                <w:tab w:val="right" w:pos="2789"/>
              </w:tabs>
            </w:pPr>
            <w:r>
              <w:rPr>
                <w:sz w:val="16"/>
              </w:rPr>
              <w:t xml:space="preserve">Drum cover type: </w:t>
            </w:r>
            <w:r>
              <w:rPr>
                <w:sz w:val="16"/>
                <w:highlight w:val="yellow"/>
              </w:rPr>
              <w:t>None</w:t>
            </w:r>
          </w:p>
          <w:p w14:paraId="4D870EE1">
            <w:pPr>
              <w:tabs>
                <w:tab w:val="right" w:pos="2789"/>
              </w:tabs>
            </w:pPr>
            <w:r>
              <w:rPr>
                <w:sz w:val="16"/>
              </w:rPr>
              <w:t xml:space="preserve">Drum dimensions:  </w:t>
            </w:r>
            <w:r>
              <w:rPr>
                <w:sz w:val="16"/>
                <w:highlight w:val="yellow"/>
              </w:rPr>
              <w:t>1.800 x 1.350 mm</w:t>
            </w:r>
          </w:p>
          <w:p w14:paraId="5152A0D5">
            <w:pPr>
              <w:tabs>
                <w:tab w:val="right" w:pos="2789"/>
              </w:tabs>
            </w:pPr>
            <w:r>
              <w:rPr>
                <w:sz w:val="16"/>
              </w:rPr>
              <w:t xml:space="preserve">Weight gross: </w:t>
            </w:r>
            <w:r>
              <w:rPr>
                <w:sz w:val="16"/>
                <w:highlight w:val="yellow"/>
              </w:rPr>
              <w:t>approx. 2.500 kg.</w:t>
            </w:r>
          </w:p>
        </w:tc>
        <w:tc>
          <w:tcPr>
            <w:tcW w:w="1247" w:type="dxa"/>
            <w:gridSpan w:val="2"/>
            <w:tcBorders>
              <w:top w:val="single" w:color="auto" w:sz="8" w:space="0"/>
              <w:bottom w:val="nil"/>
            </w:tcBorders>
          </w:tcPr>
          <w:p w14:paraId="69F0F613"/>
        </w:tc>
        <w:tc>
          <w:tcPr>
            <w:tcW w:w="822" w:type="dxa"/>
            <w:tcBorders>
              <w:top w:val="single" w:color="auto" w:sz="8" w:space="0"/>
              <w:bottom w:val="nil"/>
            </w:tcBorders>
          </w:tcPr>
          <w:p w14:paraId="5C1D29EA">
            <w:pPr>
              <w:jc w:val="right"/>
            </w:pPr>
            <w:r>
              <w:rPr>
                <w:sz w:val="16"/>
                <w:highlight w:val="yellow"/>
              </w:rPr>
              <w:t>650</w:t>
            </w:r>
          </w:p>
        </w:tc>
        <w:tc>
          <w:tcPr>
            <w:tcW w:w="566" w:type="dxa"/>
            <w:tcBorders>
              <w:top w:val="single" w:color="auto" w:sz="8" w:space="0"/>
              <w:bottom w:val="nil"/>
            </w:tcBorders>
          </w:tcPr>
          <w:p w14:paraId="65DDEF3D">
            <w:pPr>
              <w:jc w:val="center"/>
            </w:pPr>
            <w:r>
              <w:rPr>
                <w:sz w:val="16"/>
                <w:highlight w:val="yellow"/>
              </w:rPr>
              <w:t>m</w:t>
            </w:r>
          </w:p>
        </w:tc>
        <w:tc>
          <w:tcPr>
            <w:tcW w:w="1020" w:type="dxa"/>
            <w:tcBorders>
              <w:top w:val="single" w:color="auto" w:sz="8" w:space="0"/>
              <w:bottom w:val="nil"/>
            </w:tcBorders>
          </w:tcPr>
          <w:p w14:paraId="0E2FF352">
            <w:pPr>
              <w:jc w:val="right"/>
            </w:pPr>
            <w:r>
              <w:rPr>
                <w:sz w:val="16"/>
                <w:highlight w:val="yellow"/>
              </w:rPr>
              <w:t>55,20</w:t>
            </w:r>
          </w:p>
        </w:tc>
        <w:tc>
          <w:tcPr>
            <w:tcW w:w="1258" w:type="dxa"/>
            <w:gridSpan w:val="2"/>
            <w:tcBorders>
              <w:top w:val="single" w:color="auto" w:sz="8" w:space="0"/>
              <w:bottom w:val="nil"/>
            </w:tcBorders>
          </w:tcPr>
          <w:p w14:paraId="60964370">
            <w:pPr>
              <w:jc w:val="right"/>
            </w:pPr>
            <w:r>
              <w:rPr>
                <w:sz w:val="16"/>
                <w:highlight w:val="yellow"/>
              </w:rPr>
              <w:t>35.880,00</w:t>
            </w:r>
          </w:p>
        </w:tc>
      </w:tr>
      <w:tr w14:paraId="71FB858D">
        <w:tblPrEx>
          <w:tblBorders>
            <w:top w:val="single" w:color="auto" w:sz="8" w:space="0"/>
            <w:left w:val="dotted" w:color="auto" w:sz="8" w:space="0"/>
            <w:bottom w:val="single" w:color="auto" w:sz="8" w:space="0"/>
            <w:right w:val="dotted" w:color="auto" w:sz="8" w:space="0"/>
            <w:insideH w:val="single" w:color="auto" w:sz="8" w:space="0"/>
            <w:insideV w:val="dotted" w:color="auto" w:sz="8" w:space="0"/>
          </w:tblBorders>
          <w:tblCellMar>
            <w:top w:w="56" w:type="dxa"/>
            <w:left w:w="56" w:type="dxa"/>
            <w:bottom w:w="56" w:type="dxa"/>
            <w:right w:w="56" w:type="dxa"/>
          </w:tblCellMar>
        </w:tblPrEx>
        <w:trPr>
          <w:gridBefore w:val="1"/>
          <w:wBefore w:w="10" w:type="dxa"/>
          <w:cantSplit/>
        </w:trPr>
        <w:tc>
          <w:tcPr>
            <w:tcW w:w="765" w:type="dxa"/>
            <w:tcBorders>
              <w:top w:val="single" w:color="auto" w:sz="8" w:space="0"/>
              <w:bottom w:val="nil"/>
            </w:tcBorders>
            <w:vAlign w:val="center"/>
          </w:tcPr>
          <w:p w14:paraId="21EBCD78">
            <w:pPr>
              <w:rPr>
                <w:rFonts w:ascii="Georgia" w:hAnsi="Georgia" w:eastAsia="Georgia" w:cs="Georgia"/>
                <w:b/>
                <w:color w:val="1E326E"/>
              </w:rPr>
            </w:pPr>
            <w:r>
              <w:rPr>
                <w:b/>
                <w:color w:val="1E326E"/>
                <w:sz w:val="16"/>
              </w:rPr>
              <w:t>1.1.2</w:t>
            </w:r>
            <w:r>
              <w:rPr>
                <w:rFonts w:ascii="Georgia" w:hAnsi="Georgia" w:eastAsia="Georgia" w:cs="Georgia"/>
                <w:b/>
                <w:color w:val="1E326E"/>
              </w:rPr>
              <w:br w:type="textWrapping"/>
            </w:r>
          </w:p>
        </w:tc>
        <w:tc>
          <w:tcPr>
            <w:tcW w:w="3441" w:type="dxa"/>
            <w:tcBorders>
              <w:top w:val="single" w:color="auto" w:sz="8" w:space="0"/>
              <w:bottom w:val="nil"/>
            </w:tcBorders>
          </w:tcPr>
          <w:p w14:paraId="6E363ED8">
            <w:pPr>
              <w:tabs>
                <w:tab w:val="right" w:pos="2789"/>
              </w:tabs>
            </w:pPr>
            <w:r>
              <w:rPr>
                <w:sz w:val="16"/>
                <w:highlight w:val="yellow"/>
              </w:rPr>
              <w:t>2X2Y 1x120/120 RM 6/10 kV</w:t>
            </w:r>
            <w:r>
              <w:br w:type="textWrapping"/>
            </w:r>
            <w:r>
              <w:rPr>
                <w:sz w:val="16"/>
                <w:highlight w:val="yellow"/>
              </w:rPr>
              <w:t>Bonding Cable watertight</w:t>
            </w:r>
            <w:r>
              <w:rPr>
                <w:sz w:val="16"/>
              </w:rPr>
              <w:t xml:space="preserve"> </w:t>
            </w:r>
          </w:p>
          <w:p w14:paraId="3215E4E6">
            <w:pPr>
              <w:tabs>
                <w:tab w:val="right" w:pos="2789"/>
              </w:tabs>
            </w:pPr>
            <w:r>
              <w:rPr>
                <w:sz w:val="16"/>
              </w:rPr>
              <w:t xml:space="preserve">Supplier: </w:t>
            </w:r>
            <w:r>
              <w:rPr>
                <w:sz w:val="16"/>
                <w:highlight w:val="yellow"/>
              </w:rPr>
              <w:t>Universal Cables Ltd.</w:t>
            </w:r>
          </w:p>
          <w:p w14:paraId="0CFB0BEC">
            <w:pPr>
              <w:tabs>
                <w:tab w:val="right" w:pos="2789"/>
              </w:tabs>
            </w:pPr>
          </w:p>
          <w:p w14:paraId="16051156">
            <w:pPr>
              <w:tabs>
                <w:tab w:val="right" w:pos="2789"/>
              </w:tabs>
            </w:pPr>
          </w:p>
          <w:p w14:paraId="5B76D759">
            <w:pPr>
              <w:tabs>
                <w:tab w:val="right" w:pos="2789"/>
              </w:tabs>
            </w:pPr>
            <w:r>
              <w:rPr>
                <w:sz w:val="16"/>
              </w:rPr>
              <w:t>Metal Content</w:t>
            </w:r>
          </w:p>
          <w:p w14:paraId="793059A1">
            <w:pPr>
              <w:tabs>
                <w:tab w:val="right" w:pos="2789"/>
              </w:tabs>
            </w:pPr>
            <w:r>
              <w:rPr>
                <w:sz w:val="16"/>
              </w:rPr>
              <w:t xml:space="preserve">Cu: </w:t>
            </w:r>
            <w:r>
              <w:rPr>
                <w:sz w:val="16"/>
                <w:highlight w:val="yellow"/>
              </w:rPr>
              <w:t>2.184,00 kg/km</w:t>
            </w:r>
          </w:p>
          <w:p w14:paraId="4EEB6FB2">
            <w:pPr>
              <w:tabs>
                <w:tab w:val="right" w:pos="2789"/>
              </w:tabs>
            </w:pPr>
          </w:p>
          <w:p w14:paraId="3928E365">
            <w:pPr>
              <w:tabs>
                <w:tab w:val="right" w:pos="2789"/>
              </w:tabs>
            </w:pPr>
            <w:r>
              <w:rPr>
                <w:sz w:val="16"/>
              </w:rPr>
              <w:t xml:space="preserve">Delivery length: </w:t>
            </w:r>
            <w:r>
              <w:rPr>
                <w:sz w:val="16"/>
                <w:highlight w:val="yellow"/>
              </w:rPr>
              <w:t>1 drum with 1.000 m each</w:t>
            </w:r>
          </w:p>
          <w:p w14:paraId="70A86A76">
            <w:pPr>
              <w:tabs>
                <w:tab w:val="right" w:pos="2789"/>
              </w:tabs>
            </w:pPr>
            <w:r>
              <w:rPr>
                <w:sz w:val="16"/>
              </w:rPr>
              <w:t xml:space="preserve">Drum Type: </w:t>
            </w:r>
            <w:r>
              <w:rPr>
                <w:sz w:val="16"/>
                <w:highlight w:val="yellow"/>
              </w:rPr>
              <w:t>Steel</w:t>
            </w:r>
          </w:p>
          <w:p w14:paraId="080929BB">
            <w:pPr>
              <w:tabs>
                <w:tab w:val="right" w:pos="2789"/>
              </w:tabs>
            </w:pPr>
            <w:r>
              <w:rPr>
                <w:sz w:val="16"/>
              </w:rPr>
              <w:t xml:space="preserve">Drum cover type: </w:t>
            </w:r>
            <w:r>
              <w:rPr>
                <w:sz w:val="16"/>
                <w:highlight w:val="yellow"/>
              </w:rPr>
              <w:t>None</w:t>
            </w:r>
          </w:p>
          <w:p w14:paraId="62929DF5">
            <w:pPr>
              <w:tabs>
                <w:tab w:val="right" w:pos="2789"/>
              </w:tabs>
            </w:pPr>
            <w:r>
              <w:rPr>
                <w:sz w:val="16"/>
              </w:rPr>
              <w:t xml:space="preserve">Drum dimensions: </w:t>
            </w:r>
            <w:r>
              <w:rPr>
                <w:sz w:val="16"/>
                <w:highlight w:val="yellow"/>
              </w:rPr>
              <w:t>2.000 x 1.350 mm</w:t>
            </w:r>
          </w:p>
          <w:p w14:paraId="2DC2B498">
            <w:pPr>
              <w:tabs>
                <w:tab w:val="right" w:pos="2789"/>
              </w:tabs>
            </w:pPr>
            <w:r>
              <w:rPr>
                <w:sz w:val="16"/>
              </w:rPr>
              <w:t xml:space="preserve">Weight gross: </w:t>
            </w:r>
            <w:r>
              <w:rPr>
                <w:sz w:val="16"/>
                <w:highlight w:val="yellow"/>
              </w:rPr>
              <w:t>approx. 3.500 kg.</w:t>
            </w:r>
          </w:p>
        </w:tc>
        <w:tc>
          <w:tcPr>
            <w:tcW w:w="1247" w:type="dxa"/>
            <w:gridSpan w:val="2"/>
            <w:tcBorders>
              <w:top w:val="single" w:color="auto" w:sz="8" w:space="0"/>
              <w:bottom w:val="nil"/>
            </w:tcBorders>
          </w:tcPr>
          <w:p w14:paraId="2196F6F9"/>
        </w:tc>
        <w:tc>
          <w:tcPr>
            <w:tcW w:w="822" w:type="dxa"/>
            <w:tcBorders>
              <w:top w:val="single" w:color="auto" w:sz="8" w:space="0"/>
              <w:bottom w:val="nil"/>
            </w:tcBorders>
          </w:tcPr>
          <w:p w14:paraId="378D7A6F">
            <w:pPr>
              <w:jc w:val="right"/>
              <w:rPr>
                <w:highlight w:val="yellow"/>
              </w:rPr>
            </w:pPr>
            <w:r>
              <w:rPr>
                <w:sz w:val="16"/>
                <w:highlight w:val="yellow"/>
              </w:rPr>
              <w:t>1.000</w:t>
            </w:r>
          </w:p>
        </w:tc>
        <w:tc>
          <w:tcPr>
            <w:tcW w:w="566" w:type="dxa"/>
            <w:tcBorders>
              <w:top w:val="single" w:color="auto" w:sz="8" w:space="0"/>
              <w:bottom w:val="nil"/>
            </w:tcBorders>
          </w:tcPr>
          <w:p w14:paraId="499ED535">
            <w:pPr>
              <w:jc w:val="center"/>
            </w:pPr>
            <w:r>
              <w:rPr>
                <w:sz w:val="16"/>
                <w:highlight w:val="yellow"/>
              </w:rPr>
              <w:t>m</w:t>
            </w:r>
          </w:p>
        </w:tc>
        <w:tc>
          <w:tcPr>
            <w:tcW w:w="1020" w:type="dxa"/>
            <w:tcBorders>
              <w:top w:val="single" w:color="auto" w:sz="8" w:space="0"/>
              <w:bottom w:val="nil"/>
            </w:tcBorders>
          </w:tcPr>
          <w:p w14:paraId="6D6626C5">
            <w:pPr>
              <w:jc w:val="right"/>
            </w:pPr>
            <w:r>
              <w:rPr>
                <w:sz w:val="16"/>
                <w:highlight w:val="yellow"/>
              </w:rPr>
              <w:t>44,40</w:t>
            </w:r>
          </w:p>
        </w:tc>
        <w:tc>
          <w:tcPr>
            <w:tcW w:w="1258" w:type="dxa"/>
            <w:gridSpan w:val="2"/>
            <w:tcBorders>
              <w:top w:val="single" w:color="auto" w:sz="8" w:space="0"/>
              <w:bottom w:val="nil"/>
            </w:tcBorders>
          </w:tcPr>
          <w:p w14:paraId="02EA4F94">
            <w:pPr>
              <w:jc w:val="right"/>
              <w:rPr>
                <w:highlight w:val="yellow"/>
              </w:rPr>
            </w:pPr>
            <w:r>
              <w:rPr>
                <w:sz w:val="16"/>
                <w:highlight w:val="yellow"/>
              </w:rPr>
              <w:t>44.400,00</w:t>
            </w:r>
          </w:p>
        </w:tc>
      </w:tr>
      <w:tr w14:paraId="10B664EE">
        <w:tblPrEx>
          <w:tblBorders>
            <w:top w:val="single" w:color="auto" w:sz="8" w:space="0"/>
            <w:left w:val="dotted" w:color="auto" w:sz="8" w:space="0"/>
            <w:bottom w:val="single" w:color="auto" w:sz="8" w:space="0"/>
            <w:right w:val="dotted" w:color="auto" w:sz="8" w:space="0"/>
            <w:insideH w:val="single" w:color="auto" w:sz="8" w:space="0"/>
            <w:insideV w:val="dotted" w:color="auto" w:sz="8" w:space="0"/>
          </w:tblBorders>
          <w:tblCellMar>
            <w:top w:w="56" w:type="dxa"/>
            <w:left w:w="56" w:type="dxa"/>
            <w:bottom w:w="56" w:type="dxa"/>
            <w:right w:w="56" w:type="dxa"/>
          </w:tblCellMar>
        </w:tblPrEx>
        <w:trPr>
          <w:gridBefore w:val="1"/>
          <w:wBefore w:w="10" w:type="dxa"/>
          <w:cantSplit/>
        </w:trPr>
        <w:tc>
          <w:tcPr>
            <w:tcW w:w="765" w:type="dxa"/>
            <w:tcBorders>
              <w:top w:val="single" w:color="auto" w:sz="8" w:space="0"/>
              <w:bottom w:val="nil"/>
            </w:tcBorders>
            <w:vAlign w:val="center"/>
          </w:tcPr>
          <w:p w14:paraId="593F798B">
            <w:pPr>
              <w:rPr>
                <w:rFonts w:ascii="Georgia" w:hAnsi="Georgia" w:eastAsia="Georgia" w:cs="Georgia"/>
                <w:b/>
                <w:color w:val="1E326E"/>
              </w:rPr>
            </w:pPr>
            <w:bookmarkStart w:id="2" w:name="043A7F4823E0A74EBB8AFDFD70C3E9A5"/>
            <w:r>
              <w:rPr>
                <w:b/>
                <w:color w:val="1E326E"/>
                <w:sz w:val="16"/>
              </w:rPr>
              <w:t>1.1.2 (A1)</w:t>
            </w:r>
            <w:r>
              <w:rPr>
                <w:rFonts w:ascii="Georgia" w:hAnsi="Georgia" w:eastAsia="Georgia" w:cs="Georgia"/>
                <w:b/>
                <w:color w:val="1E326E"/>
              </w:rPr>
              <w:br w:type="textWrapping"/>
            </w:r>
            <w:r>
              <w:rPr>
                <w:rFonts w:ascii="Georgia" w:hAnsi="Georgia" w:eastAsia="Georgia" w:cs="Georgia"/>
                <w:color w:val="1E326E"/>
                <w:sz w:val="12"/>
              </w:rPr>
              <w:t>Alternative</w:t>
            </w:r>
          </w:p>
          <w:bookmarkEnd w:id="2"/>
        </w:tc>
        <w:tc>
          <w:tcPr>
            <w:tcW w:w="3441" w:type="dxa"/>
            <w:tcBorders>
              <w:top w:val="single" w:color="auto" w:sz="8" w:space="0"/>
              <w:bottom w:val="nil"/>
            </w:tcBorders>
          </w:tcPr>
          <w:p w14:paraId="7326BC0F">
            <w:pPr>
              <w:tabs>
                <w:tab w:val="right" w:pos="2789"/>
              </w:tabs>
              <w:rPr>
                <w:highlight w:val="yellow"/>
              </w:rPr>
            </w:pPr>
            <w:r>
              <w:rPr>
                <w:sz w:val="16"/>
                <w:highlight w:val="yellow"/>
              </w:rPr>
              <w:t>2X2Y 1x120/120 RM 6/10 kV</w:t>
            </w:r>
            <w:r>
              <w:br w:type="textWrapping"/>
            </w:r>
            <w:r>
              <w:rPr>
                <w:sz w:val="16"/>
                <w:highlight w:val="yellow"/>
              </w:rPr>
              <w:t xml:space="preserve">Bonding Cable watertight </w:t>
            </w:r>
          </w:p>
          <w:p w14:paraId="3009813D">
            <w:pPr>
              <w:tabs>
                <w:tab w:val="right" w:pos="2789"/>
              </w:tabs>
            </w:pPr>
            <w:r>
              <w:rPr>
                <w:sz w:val="16"/>
                <w:highlight w:val="yellow"/>
              </w:rPr>
              <w:t>Stock cable - subject to prior sale</w:t>
            </w:r>
            <w:r>
              <w:rPr>
                <w:sz w:val="16"/>
              </w:rPr>
              <w:t xml:space="preserve"> </w:t>
            </w:r>
          </w:p>
          <w:p w14:paraId="77AFC950">
            <w:pPr>
              <w:tabs>
                <w:tab w:val="right" w:pos="2789"/>
              </w:tabs>
            </w:pPr>
            <w:r>
              <w:rPr>
                <w:sz w:val="16"/>
              </w:rPr>
              <w:t xml:space="preserve">Supplier: </w:t>
            </w:r>
            <w:r>
              <w:rPr>
                <w:sz w:val="16"/>
                <w:highlight w:val="yellow"/>
              </w:rPr>
              <w:t>HES Kablo</w:t>
            </w:r>
            <w:r>
              <w:rPr>
                <w:sz w:val="16"/>
              </w:rPr>
              <w:t xml:space="preserve"> </w:t>
            </w:r>
          </w:p>
          <w:p w14:paraId="2DCAFF32">
            <w:pPr>
              <w:tabs>
                <w:tab w:val="right" w:pos="2789"/>
              </w:tabs>
            </w:pPr>
          </w:p>
          <w:p w14:paraId="5FACE1D3">
            <w:pPr>
              <w:tabs>
                <w:tab w:val="right" w:pos="2789"/>
              </w:tabs>
            </w:pPr>
            <w:r>
              <w:rPr>
                <w:sz w:val="16"/>
              </w:rPr>
              <w:t>Metal Content</w:t>
            </w:r>
          </w:p>
          <w:p w14:paraId="0660527E">
            <w:pPr>
              <w:tabs>
                <w:tab w:val="right" w:pos="2789"/>
              </w:tabs>
            </w:pPr>
            <w:r>
              <w:rPr>
                <w:sz w:val="16"/>
              </w:rPr>
              <w:t xml:space="preserve">Cu: </w:t>
            </w:r>
            <w:r>
              <w:rPr>
                <w:sz w:val="16"/>
                <w:highlight w:val="yellow"/>
              </w:rPr>
              <w:t>2.048,00 kg/km</w:t>
            </w:r>
          </w:p>
          <w:p w14:paraId="38496266">
            <w:pPr>
              <w:tabs>
                <w:tab w:val="right" w:pos="2789"/>
              </w:tabs>
            </w:pPr>
          </w:p>
          <w:p w14:paraId="7250A67D">
            <w:pPr>
              <w:tabs>
                <w:tab w:val="right" w:pos="2789"/>
              </w:tabs>
            </w:pPr>
            <w:r>
              <w:rPr>
                <w:sz w:val="16"/>
              </w:rPr>
              <w:t xml:space="preserve">Delivery length: </w:t>
            </w:r>
            <w:r>
              <w:rPr>
                <w:sz w:val="16"/>
                <w:highlight w:val="yellow"/>
              </w:rPr>
              <w:t>1 drum with 850 m</w:t>
            </w:r>
          </w:p>
          <w:p w14:paraId="1B0FF589">
            <w:pPr>
              <w:tabs>
                <w:tab w:val="right" w:pos="2789"/>
              </w:tabs>
            </w:pPr>
            <w:r>
              <w:rPr>
                <w:sz w:val="16"/>
              </w:rPr>
              <w:t xml:space="preserve">Drum Type: </w:t>
            </w:r>
            <w:r>
              <w:rPr>
                <w:sz w:val="16"/>
                <w:highlight w:val="yellow"/>
              </w:rPr>
              <w:t>Wooden</w:t>
            </w:r>
          </w:p>
          <w:p w14:paraId="4E4B4071">
            <w:pPr>
              <w:tabs>
                <w:tab w:val="right" w:pos="2789"/>
              </w:tabs>
            </w:pPr>
            <w:r>
              <w:rPr>
                <w:sz w:val="16"/>
              </w:rPr>
              <w:t xml:space="preserve">Drum cover type: </w:t>
            </w:r>
            <w:r>
              <w:rPr>
                <w:sz w:val="16"/>
                <w:highlight w:val="yellow"/>
              </w:rPr>
              <w:t>None</w:t>
            </w:r>
          </w:p>
          <w:p w14:paraId="37F40751">
            <w:pPr>
              <w:tabs>
                <w:tab w:val="right" w:pos="2789"/>
              </w:tabs>
            </w:pPr>
            <w:r>
              <w:rPr>
                <w:sz w:val="16"/>
              </w:rPr>
              <w:t xml:space="preserve">Drum dimensions:  </w:t>
            </w:r>
            <w:r>
              <w:rPr>
                <w:sz w:val="16"/>
                <w:highlight w:val="yellow"/>
              </w:rPr>
              <w:t>1.800 x1.100 mm</w:t>
            </w:r>
          </w:p>
          <w:p w14:paraId="27C98738">
            <w:pPr>
              <w:tabs>
                <w:tab w:val="right" w:pos="2789"/>
              </w:tabs>
            </w:pPr>
            <w:r>
              <w:rPr>
                <w:sz w:val="16"/>
              </w:rPr>
              <w:t xml:space="preserve">Weight gross: </w:t>
            </w:r>
            <w:r>
              <w:rPr>
                <w:sz w:val="16"/>
                <w:highlight w:val="yellow"/>
              </w:rPr>
              <w:t>approx. 3.000 kg</w:t>
            </w:r>
          </w:p>
        </w:tc>
        <w:tc>
          <w:tcPr>
            <w:tcW w:w="1247" w:type="dxa"/>
            <w:gridSpan w:val="2"/>
            <w:tcBorders>
              <w:top w:val="single" w:color="auto" w:sz="8" w:space="0"/>
              <w:bottom w:val="nil"/>
            </w:tcBorders>
          </w:tcPr>
          <w:p w14:paraId="79552C2F">
            <w:bookmarkStart w:id="3" w:name="471663B27064254D81081B2DD4B32ED8"/>
          </w:p>
          <w:bookmarkEnd w:id="3"/>
        </w:tc>
        <w:tc>
          <w:tcPr>
            <w:tcW w:w="822" w:type="dxa"/>
            <w:tcBorders>
              <w:top w:val="single" w:color="auto" w:sz="8" w:space="0"/>
              <w:bottom w:val="nil"/>
            </w:tcBorders>
          </w:tcPr>
          <w:p w14:paraId="538CF3CB">
            <w:pPr>
              <w:jc w:val="right"/>
            </w:pPr>
            <w:bookmarkStart w:id="4" w:name="B4813E9A42CE7849AECBBCD9F41264B7"/>
            <w:r>
              <w:rPr>
                <w:sz w:val="16"/>
                <w:highlight w:val="yellow"/>
              </w:rPr>
              <w:t>850</w:t>
            </w:r>
          </w:p>
          <w:bookmarkEnd w:id="4"/>
        </w:tc>
        <w:tc>
          <w:tcPr>
            <w:tcW w:w="566" w:type="dxa"/>
            <w:tcBorders>
              <w:top w:val="single" w:color="auto" w:sz="8" w:space="0"/>
              <w:bottom w:val="nil"/>
            </w:tcBorders>
          </w:tcPr>
          <w:p w14:paraId="6171A22A">
            <w:pPr>
              <w:jc w:val="center"/>
            </w:pPr>
            <w:bookmarkStart w:id="5" w:name="1A32EBA43F03C846A5AF9A1A939F77C0"/>
            <w:r>
              <w:rPr>
                <w:sz w:val="16"/>
                <w:highlight w:val="yellow"/>
              </w:rPr>
              <w:t>m</w:t>
            </w:r>
          </w:p>
          <w:bookmarkEnd w:id="5"/>
        </w:tc>
        <w:tc>
          <w:tcPr>
            <w:tcW w:w="1020" w:type="dxa"/>
            <w:tcBorders>
              <w:top w:val="single" w:color="auto" w:sz="8" w:space="0"/>
              <w:bottom w:val="nil"/>
            </w:tcBorders>
          </w:tcPr>
          <w:p w14:paraId="5F6702EB">
            <w:pPr>
              <w:jc w:val="right"/>
              <w:rPr>
                <w:highlight w:val="yellow"/>
              </w:rPr>
            </w:pPr>
            <w:r>
              <w:rPr>
                <w:sz w:val="16"/>
                <w:highlight w:val="yellow"/>
              </w:rPr>
              <w:t>45,50</w:t>
            </w:r>
          </w:p>
        </w:tc>
        <w:tc>
          <w:tcPr>
            <w:tcW w:w="1258" w:type="dxa"/>
            <w:gridSpan w:val="2"/>
            <w:tcBorders>
              <w:top w:val="single" w:color="auto" w:sz="8" w:space="0"/>
              <w:bottom w:val="nil"/>
            </w:tcBorders>
          </w:tcPr>
          <w:p w14:paraId="0DE7CD29">
            <w:pPr>
              <w:jc w:val="right"/>
            </w:pPr>
          </w:p>
        </w:tc>
      </w:tr>
      <w:tr w14:paraId="697C7847">
        <w:tblPrEx>
          <w:tblBorders>
            <w:top w:val="single" w:color="auto" w:sz="8" w:space="0"/>
            <w:left w:val="dotted" w:color="auto" w:sz="8" w:space="0"/>
            <w:bottom w:val="single" w:color="auto" w:sz="8" w:space="0"/>
            <w:right w:val="dotted" w:color="auto" w:sz="8" w:space="0"/>
            <w:insideH w:val="single" w:color="auto" w:sz="8" w:space="0"/>
            <w:insideV w:val="dotted" w:color="auto" w:sz="8" w:space="0"/>
          </w:tblBorders>
          <w:tblCellMar>
            <w:top w:w="56" w:type="dxa"/>
            <w:left w:w="56" w:type="dxa"/>
            <w:bottom w:w="56" w:type="dxa"/>
            <w:right w:w="56" w:type="dxa"/>
          </w:tblCellMar>
        </w:tblPrEx>
        <w:trPr>
          <w:gridBefore w:val="1"/>
          <w:wBefore w:w="10" w:type="dxa"/>
          <w:cantSplit/>
        </w:trPr>
        <w:tc>
          <w:tcPr>
            <w:tcW w:w="765" w:type="dxa"/>
            <w:tcBorders>
              <w:top w:val="single" w:color="auto" w:sz="12" w:space="0"/>
              <w:bottom w:val="single" w:color="auto" w:sz="12" w:space="0"/>
            </w:tcBorders>
            <w:vAlign w:val="center"/>
          </w:tcPr>
          <w:p w14:paraId="404AB96E">
            <w:pPr>
              <w:rPr>
                <w:rFonts w:ascii="Georgia" w:hAnsi="Georgia" w:eastAsia="Georgia" w:cs="Georgia"/>
                <w:b/>
                <w:color w:val="1E326E"/>
              </w:rPr>
            </w:pPr>
            <w:bookmarkStart w:id="6" w:name="E05989E134E5DF48B4049EA59DA04A3C"/>
          </w:p>
          <w:bookmarkEnd w:id="6"/>
        </w:tc>
        <w:tc>
          <w:tcPr>
            <w:tcW w:w="3441" w:type="dxa"/>
            <w:tcBorders>
              <w:top w:val="single" w:color="auto" w:sz="12" w:space="0"/>
              <w:bottom w:val="single" w:color="auto" w:sz="12" w:space="0"/>
            </w:tcBorders>
          </w:tcPr>
          <w:p w14:paraId="0DB888EE">
            <w:r>
              <w:rPr>
                <w:b/>
                <w:color w:val="1E326E"/>
                <w:sz w:val="16"/>
              </w:rPr>
              <w:t>TOTAL - Project</w:t>
            </w:r>
          </w:p>
        </w:tc>
        <w:tc>
          <w:tcPr>
            <w:tcW w:w="1247" w:type="dxa"/>
            <w:gridSpan w:val="2"/>
            <w:tcBorders>
              <w:top w:val="single" w:color="auto" w:sz="12" w:space="0"/>
              <w:bottom w:val="single" w:color="auto" w:sz="12" w:space="0"/>
            </w:tcBorders>
          </w:tcPr>
          <w:p w14:paraId="7B69CF60">
            <w:bookmarkStart w:id="7" w:name="91BE4314FEF9CC41B576AAB962C69F6D"/>
          </w:p>
          <w:bookmarkEnd w:id="7"/>
        </w:tc>
        <w:tc>
          <w:tcPr>
            <w:tcW w:w="822" w:type="dxa"/>
            <w:tcBorders>
              <w:top w:val="single" w:color="auto" w:sz="12" w:space="0"/>
              <w:bottom w:val="single" w:color="auto" w:sz="12" w:space="0"/>
            </w:tcBorders>
          </w:tcPr>
          <w:p w14:paraId="25458991">
            <w:pPr>
              <w:jc w:val="center"/>
            </w:pPr>
            <w:bookmarkStart w:id="8" w:name="E9A737B7D7DA4345BB7C70E23702FD16"/>
          </w:p>
          <w:bookmarkEnd w:id="8"/>
        </w:tc>
        <w:tc>
          <w:tcPr>
            <w:tcW w:w="566" w:type="dxa"/>
            <w:tcBorders>
              <w:top w:val="single" w:color="auto" w:sz="12" w:space="0"/>
              <w:bottom w:val="single" w:color="auto" w:sz="12" w:space="0"/>
            </w:tcBorders>
          </w:tcPr>
          <w:p w14:paraId="77BB4488">
            <w:pPr>
              <w:jc w:val="center"/>
            </w:pPr>
            <w:bookmarkStart w:id="9" w:name="FC76CB88BD9F684B9BFE61737E542119"/>
          </w:p>
          <w:bookmarkEnd w:id="9"/>
        </w:tc>
        <w:tc>
          <w:tcPr>
            <w:tcW w:w="2278" w:type="dxa"/>
            <w:gridSpan w:val="3"/>
            <w:tcBorders>
              <w:top w:val="single" w:color="auto" w:sz="12" w:space="0"/>
              <w:bottom w:val="single" w:color="auto" w:sz="12" w:space="0"/>
            </w:tcBorders>
          </w:tcPr>
          <w:p w14:paraId="664112D6">
            <w:pPr>
              <w:jc w:val="right"/>
            </w:pPr>
            <w:r>
              <w:rPr>
                <w:b/>
                <w:color w:val="1E326E"/>
                <w:sz w:val="16"/>
                <w:highlight w:val="yellow"/>
              </w:rPr>
              <w:t>80.280,00</w:t>
            </w:r>
            <w:r>
              <w:rPr>
                <w:highlight w:val="yellow"/>
              </w:rPr>
              <w:t xml:space="preserve"> </w:t>
            </w:r>
            <w:r>
              <w:rPr>
                <w:b/>
                <w:color w:val="1E326E"/>
                <w:sz w:val="16"/>
                <w:highlight w:val="yellow"/>
              </w:rPr>
              <w:t>EUR</w:t>
            </w:r>
          </w:p>
        </w:tc>
      </w:tr>
    </w:tbl>
    <w:p w14:paraId="671F2225">
      <w:pPr>
        <w:keepNext/>
        <w:spacing w:before="240"/>
        <w:sectPr>
          <w:type w:val="continuous"/>
          <w:pgSz w:w="11906" w:h="16838"/>
          <w:pgMar w:top="1701" w:right="1417" w:bottom="1701" w:left="1417" w:header="1020" w:footer="567" w:gutter="0"/>
          <w:cols w:space="708" w:num="1"/>
          <w:docGrid w:linePitch="360" w:charSpace="0"/>
        </w:sectPr>
      </w:pPr>
      <w:r>
        <w:t>The respective amount of VAT in accordance with legal regulations shall be added to the prices. VAT will be disclosed separately.</w:t>
      </w:r>
      <w:r>
        <w:br w:type="textWrapping"/>
      </w:r>
    </w:p>
    <w:p w14:paraId="306DC3ED">
      <w:pPr>
        <w:keepNext/>
        <w:spacing w:before="240"/>
        <w:sectPr>
          <w:headerReference r:id="rId9" w:type="default"/>
          <w:footerReference r:id="rId10" w:type="default"/>
          <w:type w:val="continuous"/>
          <w:pgSz w:w="11906" w:h="16838"/>
          <w:pgMar w:top="1701" w:right="1417" w:bottom="1701" w:left="1417" w:header="1020" w:footer="567" w:gutter="0"/>
          <w:cols w:space="708" w:num="1"/>
          <w:docGrid w:linePitch="360" w:charSpace="0"/>
        </w:sectPr>
      </w:pPr>
    </w:p>
    <w:p w14:paraId="044C5A18">
      <w:pPr>
        <w:pStyle w:val="2"/>
      </w:pPr>
      <w:bookmarkStart w:id="10" w:name="_Toc60CBC38D4F531D47873F56C6428787CB"/>
      <w:r>
        <w:t>Prices</w:t>
      </w:r>
    </w:p>
    <w:p w14:paraId="726937B2">
      <w:pPr>
        <w:pStyle w:val="34"/>
      </w:pPr>
      <w:r>
        <w:t xml:space="preserve">The prices offered are only valid in case </w:t>
      </w:r>
      <w:r>
        <w:rPr>
          <w:highlight w:val="yellow"/>
        </w:rPr>
        <w:t>NKT (Sweden) AB</w:t>
      </w:r>
      <w:r>
        <w:t xml:space="preserve"> purchases the entire quantity of the goods offered. In the event that </w:t>
      </w:r>
      <w:r>
        <w:rPr>
          <w:highlight w:val="yellow"/>
        </w:rPr>
        <w:t>NKT (Sweden) AB</w:t>
      </w:r>
      <w:r>
        <w:t xml:space="preserve"> decides to order less or more in relation to the offered quantity of goods, NKT reserves the right to adjust the prices for the then agreed delivery quantity.</w:t>
      </w:r>
    </w:p>
    <w:p w14:paraId="498A9C7A">
      <w:pPr>
        <w:pStyle w:val="34"/>
      </w:pPr>
      <w:r>
        <w:t>Cable drums are included in the contract price.</w:t>
      </w:r>
    </w:p>
    <w:p w14:paraId="65A1D50D">
      <w:pPr>
        <w:pStyle w:val="34"/>
      </w:pPr>
      <w:r>
        <w:t xml:space="preserve">All duties, fees, customs duties and non-German taxes shall be borne by </w:t>
      </w:r>
      <w:r>
        <w:rPr>
          <w:highlight w:val="yellow"/>
        </w:rPr>
        <w:t>NKT (Sweden) AB</w:t>
      </w:r>
      <w:r>
        <w:t>.</w:t>
      </w:r>
    </w:p>
    <w:p w14:paraId="7320E3BB">
      <w:pPr>
        <w:pStyle w:val="34"/>
      </w:pPr>
      <w:r>
        <w:t>Termination or cancellation of the contract requires NKT's approval and an agreement by the parties on the compensation due to NKT in this case.</w:t>
      </w:r>
    </w:p>
    <w:p w14:paraId="7E0236CE">
      <w:pPr>
        <w:pStyle w:val="2"/>
      </w:pPr>
      <w:r>
        <w:t>Production facility cables</w:t>
      </w:r>
      <w:bookmarkEnd w:id="10"/>
    </w:p>
    <w:p w14:paraId="35FD89A1">
      <w:pPr>
        <w:pStyle w:val="34"/>
      </w:pPr>
      <w:r>
        <w:t xml:space="preserve">In the event of an order, we reserve the right to supply the cable from our NKT supply chain partners </w:t>
      </w:r>
      <w:r>
        <w:rPr>
          <w:highlight w:val="yellow"/>
        </w:rPr>
        <w:t>Universal Cables Ltd</w:t>
      </w:r>
      <w:r>
        <w:t>.</w:t>
      </w:r>
    </w:p>
    <w:p w14:paraId="6BC45786">
      <w:pPr>
        <w:pStyle w:val="2"/>
      </w:pPr>
      <w:bookmarkStart w:id="11" w:name="_TocE12207F74C142646BAD7C061C6757291"/>
      <w:r>
        <w:t>(</w:t>
      </w:r>
      <w:r>
        <w:rPr>
          <w:i/>
          <w:iCs/>
        </w:rPr>
        <w:t>if delivery outside of Germany</w:t>
      </w:r>
      <w:r>
        <w:t>) Export Regulations</w:t>
      </w:r>
      <w:bookmarkEnd w:id="11"/>
    </w:p>
    <w:p w14:paraId="2AD295AA">
      <w:pPr>
        <w:pStyle w:val="34"/>
      </w:pPr>
      <w:r>
        <w:t xml:space="preserve">According to German Export Regulations as well as other national rulings, the export or import of material offered here might be subject to the approval of the German Authorities (Bundesausfuhramt – BAFA) or other national administrative authorities. Therefore, NKT and </w:t>
      </w:r>
      <w:r>
        <w:rPr>
          <w:highlight w:val="yellow"/>
        </w:rPr>
        <w:t>NKT (Sweden) AB</w:t>
      </w:r>
      <w:r>
        <w:t xml:space="preserve"> agree that any non-delivery or late delivery based on missing approval of responsible authorities, such as German export control authorities, is not subject to any ruling for delay or any other claim against NKT.</w:t>
      </w:r>
    </w:p>
    <w:p w14:paraId="5A95A4A7">
      <w:pPr>
        <w:pStyle w:val="2"/>
      </w:pPr>
      <w:bookmarkStart w:id="12" w:name="_Toc43907F4C2E9BAF43BDFE3162B64B85A6"/>
      <w:r>
        <w:t>Delivery</w:t>
      </w:r>
      <w:bookmarkEnd w:id="12"/>
    </w:p>
    <w:p w14:paraId="39DA793A">
      <w:pPr>
        <w:pStyle w:val="34"/>
      </w:pPr>
      <w:r>
        <w:t xml:space="preserve">The cables shall be delivered by NKT to the agreed installation site. Delivery shall occur in accordance with </w:t>
      </w:r>
      <w:r>
        <w:rPr>
          <w:highlight w:val="yellow"/>
        </w:rPr>
        <w:t>DAP</w:t>
      </w:r>
      <w:r>
        <w:t xml:space="preserve"> (INCOTERMS 2020). The destination site is: </w:t>
      </w:r>
      <w:r>
        <w:rPr>
          <w:highlight w:val="yellow"/>
        </w:rPr>
        <w:t>Esposende</w:t>
      </w:r>
      <w:r>
        <w:t xml:space="preserve">. Upon delivery of the cables, their integrity must be checked by the parties and confirmed to NKT by </w:t>
      </w:r>
      <w:r>
        <w:rPr>
          <w:highlight w:val="yellow"/>
        </w:rPr>
        <w:t>NKT Cables Portugal, S.A. (NKT Cables Portugal, S.A.)</w:t>
      </w:r>
      <w:r>
        <w:t>. The unloading destination and in particular the installation site must be accessible for heavy duty transports.</w:t>
      </w:r>
    </w:p>
    <w:p w14:paraId="0D6988C1">
      <w:pPr>
        <w:pStyle w:val="2"/>
      </w:pPr>
      <w:bookmarkStart w:id="13" w:name="_Toc3B3C59BFF1B0034395D8CBA55EB45EAB"/>
      <w:r>
        <w:t>Delivery period</w:t>
      </w:r>
      <w:bookmarkEnd w:id="13"/>
    </w:p>
    <w:p w14:paraId="1164CEEB">
      <w:pPr>
        <w:pStyle w:val="34"/>
      </w:pPr>
      <w:bookmarkStart w:id="14" w:name="_Hlk90292633"/>
      <w:r>
        <w:t xml:space="preserve">The bonding cable(s) available in stock, according to chapter </w:t>
      </w:r>
      <w:r>
        <w:fldChar w:fldCharType="begin"/>
      </w:r>
      <w:r>
        <w:instrText xml:space="preserve"> PAGEREF _Ref221283457 \h </w:instrText>
      </w:r>
      <w:r>
        <w:fldChar w:fldCharType="separate"/>
      </w:r>
      <w:r>
        <w:t>3</w:t>
      </w:r>
      <w:r>
        <w:fldChar w:fldCharType="end"/>
      </w:r>
      <w:r>
        <w:t xml:space="preserve"> Pricelist, (</w:t>
      </w:r>
      <w:r>
        <w:rPr>
          <w:highlight w:val="yellow"/>
        </w:rPr>
        <w:t>item 1.1.1 and 1.1.2 A1</w:t>
      </w:r>
      <w:r>
        <w:t xml:space="preserve"> - subject to prior sales) can be delivered approx. </w:t>
      </w:r>
      <w:r>
        <w:rPr>
          <w:highlight w:val="yellow"/>
        </w:rPr>
        <w:t>4 weeks</w:t>
      </w:r>
      <w:r>
        <w:t xml:space="preserve"> after order confirmation. The bonding cable(s) </w:t>
      </w:r>
      <w:r>
        <w:rPr>
          <w:highlight w:val="yellow"/>
        </w:rPr>
        <w:t>item 1.1.2</w:t>
      </w:r>
      <w:r>
        <w:t xml:space="preserve"> can be delivered approx. </w:t>
      </w:r>
      <w:r>
        <w:rPr>
          <w:highlight w:val="yellow"/>
        </w:rPr>
        <w:t>34 weeks</w:t>
      </w:r>
      <w:r>
        <w:t xml:space="preserve"> after order confirmation, subject to technical and commercial clarification (depending on the availability of ships and sea routes).</w:t>
      </w:r>
      <w:bookmarkEnd w:id="14"/>
      <w:r>
        <w:t xml:space="preserve"> </w:t>
      </w:r>
    </w:p>
    <w:p w14:paraId="6362BB13">
      <w:pPr>
        <w:pStyle w:val="2"/>
      </w:pPr>
      <w:bookmarkStart w:id="15" w:name="_Toc7DECE0BF61B3C147AC715367D47C8E17"/>
      <w:r>
        <w:t>Prices</w:t>
      </w:r>
      <w:bookmarkEnd w:id="15"/>
    </w:p>
    <w:p w14:paraId="5DAFC076">
      <w:pPr>
        <w:pStyle w:val="34"/>
      </w:pPr>
      <w:r>
        <w:t xml:space="preserve">The prices offered are only valid in case </w:t>
      </w:r>
      <w:r>
        <w:rPr>
          <w:highlight w:val="yellow"/>
        </w:rPr>
        <w:t>NKT Cables Portugal, S.A.</w:t>
      </w:r>
      <w:r>
        <w:t xml:space="preserve"> purchases the entire quantity of the goods offered. In the event that </w:t>
      </w:r>
      <w:r>
        <w:rPr>
          <w:highlight w:val="yellow"/>
        </w:rPr>
        <w:t>NKT Cables Portugal, S.A.</w:t>
      </w:r>
      <w:r>
        <w:t xml:space="preserve"> decides to order less or more in relation to the offered quantity of goods, NKT reserves the right to adjust the prices for the then agreed delivery quantity.</w:t>
      </w:r>
    </w:p>
    <w:p w14:paraId="3A7752AC">
      <w:pPr>
        <w:pStyle w:val="34"/>
      </w:pPr>
      <w:r>
        <w:t>Cable drums are included in the contract price.</w:t>
      </w:r>
    </w:p>
    <w:p w14:paraId="0EAB683B">
      <w:pPr>
        <w:pStyle w:val="34"/>
      </w:pPr>
      <w:r>
        <w:t xml:space="preserve">All duties, fees, customs duties and non-German taxes shall be borne by </w:t>
      </w:r>
      <w:r>
        <w:rPr>
          <w:highlight w:val="yellow"/>
        </w:rPr>
        <w:t>NKT Cables Portugal, S.A.</w:t>
      </w:r>
      <w:r>
        <w:t>.</w:t>
      </w:r>
    </w:p>
    <w:p w14:paraId="60CA4772">
      <w:pPr>
        <w:pStyle w:val="34"/>
      </w:pPr>
      <w:r>
        <w:t>Termination or cancellation of the contract requires NKT's approval and an agreement by the parties on the compensation due to NKT in this case.</w:t>
      </w:r>
    </w:p>
    <w:p w14:paraId="4B23BA1A">
      <w:pPr>
        <w:pStyle w:val="2"/>
      </w:pPr>
      <w:bookmarkStart w:id="16" w:name="_TocD86A19EE9B03D64CB090DF250B095699"/>
      <w:r>
        <w:t>Terms of payment</w:t>
      </w:r>
      <w:bookmarkEnd w:id="16"/>
    </w:p>
    <w:p w14:paraId="34A7618B">
      <w:pPr>
        <w:pStyle w:val="34"/>
        <w:numPr>
          <w:ilvl w:val="1"/>
          <w:numId w:val="3"/>
        </w:numPr>
        <w:tabs>
          <w:tab w:val="clear" w:pos="0"/>
        </w:tabs>
        <w:ind w:left="709" w:hanging="709"/>
      </w:pPr>
      <w:r>
        <w:rPr>
          <w:i/>
          <w:iCs/>
          <w:highlight w:val="cyan"/>
        </w:rPr>
        <w:t>If Internal:</w:t>
      </w:r>
      <w:r>
        <w:t xml:space="preserve"> 30 days after delivery.</w:t>
      </w:r>
    </w:p>
    <w:p w14:paraId="2357ECFD">
      <w:pPr>
        <w:pStyle w:val="34"/>
        <w:numPr>
          <w:ilvl w:val="0"/>
          <w:numId w:val="0"/>
        </w:numPr>
        <w:ind w:left="709"/>
      </w:pPr>
      <w:r>
        <w:rPr>
          <w:i/>
          <w:iCs/>
          <w:highlight w:val="cyan"/>
        </w:rPr>
        <w:t>If Intercompany:</w:t>
      </w:r>
      <w:r>
        <w:t xml:space="preserve"> According to the Intercompany Settlement.</w:t>
      </w:r>
    </w:p>
    <w:p w14:paraId="4AFEA096">
      <w:pPr>
        <w:pStyle w:val="34"/>
        <w:numPr>
          <w:ilvl w:val="0"/>
          <w:numId w:val="0"/>
        </w:numPr>
        <w:tabs>
          <w:tab w:val="clear" w:pos="0"/>
        </w:tabs>
        <w:ind w:left="709"/>
      </w:pPr>
      <w:r>
        <w:rPr>
          <w:i/>
          <w:iCs/>
          <w:highlight w:val="cyan"/>
        </w:rPr>
        <w:t>If External:</w:t>
      </w:r>
      <w:r>
        <w:t xml:space="preserve"> Needs to be defined.</w:t>
      </w:r>
    </w:p>
    <w:p w14:paraId="1455F321">
      <w:pPr>
        <w:pStyle w:val="2"/>
        <w:keepNext w:val="0"/>
      </w:pPr>
      <w:bookmarkStart w:id="17" w:name="_Toc683C9996C5BD504DA8DF1717C561BBC8"/>
      <w:r>
        <w:t>Metal Adjustment</w:t>
      </w:r>
      <w:bookmarkEnd w:id="17"/>
    </w:p>
    <w:p w14:paraId="405D0677">
      <w:pPr>
        <w:pStyle w:val="34"/>
      </w:pPr>
      <w:r>
        <w:t>Depending on the cable type offered, NKT’s products contain metals such as Copper, Aluminium or Lead. These metals are exchange-traded. Due to strong market fluctuations, it is common practice to adjust the final cable price based on the metal prices valid at the time of placing the order.</w:t>
      </w:r>
      <w:r>
        <w:tab/>
      </w:r>
      <w:r>
        <w:br w:type="textWrapping"/>
      </w:r>
      <w:r>
        <w:t>This is meant to provide transparency and enables NKT to submit offers without adding any risk surcharge</w:t>
      </w:r>
      <w:r>
        <w:tab/>
      </w:r>
      <w:r>
        <w:br w:type="textWrapping"/>
      </w:r>
      <w:r>
        <w:t>In the following a detailed description of this procedure and of the metals contained in NKT’s product is indicated.</w:t>
      </w:r>
      <w:r>
        <w:tab/>
      </w:r>
    </w:p>
    <w:p w14:paraId="4BCDD607">
      <w:pPr>
        <w:pStyle w:val="34"/>
        <w:rPr>
          <w:bCs/>
        </w:rPr>
      </w:pPr>
      <w:r>
        <w:t>The cable prices quoted in our offer are prices inclusive non-ferrous metals (full-prices) based on</w:t>
      </w:r>
    </w:p>
    <w:p w14:paraId="3298995E">
      <w:pPr>
        <w:pStyle w:val="32"/>
        <w:tabs>
          <w:tab w:val="left" w:pos="3119"/>
        </w:tabs>
        <w:ind w:left="3119" w:hanging="1703"/>
        <w:jc w:val="both"/>
        <w:rPr>
          <w:bCs/>
        </w:rPr>
      </w:pPr>
      <w:r>
        <w:rPr>
          <w:bCs/>
        </w:rPr>
        <w:t>Copper (M1Cu):</w:t>
      </w:r>
      <w:r>
        <w:tab/>
      </w:r>
      <w:r>
        <w:rPr>
          <w:bCs/>
        </w:rPr>
        <w:tab/>
      </w:r>
      <w:r>
        <w:rPr>
          <w:bCs/>
          <w:highlight w:val="yellow"/>
        </w:rPr>
        <w:t>13.310,00</w:t>
      </w:r>
      <w:r>
        <w:rPr>
          <w:bCs/>
        </w:rPr>
        <w:t xml:space="preserve"> USD/t </w:t>
      </w:r>
    </w:p>
    <w:p w14:paraId="23408849">
      <w:pPr>
        <w:pStyle w:val="32"/>
        <w:tabs>
          <w:tab w:val="left" w:pos="3119"/>
        </w:tabs>
        <w:ind w:left="3119" w:hanging="1703"/>
        <w:jc w:val="both"/>
        <w:rPr>
          <w:bCs/>
        </w:rPr>
      </w:pPr>
      <w:r>
        <w:rPr>
          <w:bCs/>
        </w:rPr>
        <w:t xml:space="preserve">Official LME-Cash Seller &amp; Settlement Price </w:t>
      </w:r>
    </w:p>
    <w:p w14:paraId="7DB929E3">
      <w:pPr>
        <w:pStyle w:val="32"/>
        <w:tabs>
          <w:tab w:val="left" w:pos="3119"/>
        </w:tabs>
        <w:ind w:left="3119" w:hanging="1703"/>
        <w:jc w:val="both"/>
        <w:rPr>
          <w:bCs/>
        </w:rPr>
      </w:pPr>
    </w:p>
    <w:p w14:paraId="4388F3B5">
      <w:pPr>
        <w:pStyle w:val="32"/>
        <w:jc w:val="both"/>
      </w:pPr>
      <w:r>
        <w:t xml:space="preserve">as published on </w:t>
      </w:r>
      <w:r>
        <w:fldChar w:fldCharType="begin"/>
      </w:r>
      <w:r>
        <w:instrText xml:space="preserve"> HYPERLINK "http://www.lme.com/metals/non-ferrous/" </w:instrText>
      </w:r>
      <w:r>
        <w:fldChar w:fldCharType="separate"/>
      </w:r>
      <w:r>
        <w:rPr>
          <w:rStyle w:val="14"/>
        </w:rPr>
        <w:t>http://www.lme.com/metals/non-ferrous/</w:t>
      </w:r>
      <w:r>
        <w:rPr>
          <w:rStyle w:val="14"/>
        </w:rPr>
        <w:fldChar w:fldCharType="end"/>
      </w:r>
      <w:r>
        <w:rPr>
          <w:rStyle w:val="14"/>
        </w:rPr>
        <w:t xml:space="preserve"> </w:t>
      </w:r>
      <w:r>
        <w:t xml:space="preserve">and an exchange rate (Bloomberg Fixing BFIX) of US$ = </w:t>
      </w:r>
      <w:r>
        <w:rPr>
          <w:highlight w:val="yellow"/>
        </w:rPr>
        <w:t>1,168200</w:t>
      </w:r>
      <w:r>
        <w:t xml:space="preserve"> / EUR as published on </w:t>
      </w:r>
      <w:r>
        <w:fldChar w:fldCharType="begin"/>
      </w:r>
      <w:r>
        <w:instrText xml:space="preserve"> HYPERLINK "https://www.bloomberg.com/markets/currencies/fx-fixings" </w:instrText>
      </w:r>
      <w:r>
        <w:fldChar w:fldCharType="separate"/>
      </w:r>
      <w:r>
        <w:rPr>
          <w:rStyle w:val="14"/>
        </w:rPr>
        <w:t>https://www.bloomberg.com/markets/currencies/fx-fixings</w:t>
      </w:r>
      <w:r>
        <w:rPr>
          <w:rStyle w:val="14"/>
        </w:rPr>
        <w:fldChar w:fldCharType="end"/>
      </w:r>
    </w:p>
    <w:p w14:paraId="77FA4589">
      <w:pPr>
        <w:pStyle w:val="32"/>
      </w:pPr>
      <w:r>
        <w:t xml:space="preserve">on </w:t>
      </w:r>
      <w:r>
        <w:rPr>
          <w:highlight w:val="yellow"/>
        </w:rPr>
        <w:t>[insert date: today minus 1]</w:t>
      </w:r>
      <w:r>
        <w:t>.</w:t>
      </w:r>
    </w:p>
    <w:p w14:paraId="574A905B">
      <w:pPr>
        <w:pStyle w:val="32"/>
      </w:pPr>
    </w:p>
    <w:p w14:paraId="6290C900">
      <w:pPr>
        <w:pStyle w:val="32"/>
        <w:ind w:left="0"/>
        <w:jc w:val="both"/>
        <w:rPr>
          <w:szCs w:val="18"/>
        </w:rPr>
      </w:pPr>
    </w:p>
    <w:p w14:paraId="677BEBF3">
      <w:pPr>
        <w:pStyle w:val="34"/>
      </w:pPr>
      <w:r>
        <w:t>Non-ferrous metal prices (Cash Seller &amp; Settlement) will be charged as published by the London Metal Exchange in the afternoon of the day following the receipt of the clarified order. They will be converted into EUR/t with the exchange rate (BFIX) as published in the afternoon of the day following the receipt of the clarified order.</w:t>
      </w:r>
      <w:r>
        <w:tab/>
      </w:r>
    </w:p>
    <w:p w14:paraId="1817B926">
      <w:pPr>
        <w:pStyle w:val="34"/>
      </w:pPr>
      <w:r>
        <w:t>The following formula is applied for calculating the price difference (PD):</w:t>
      </w:r>
    </w:p>
    <w:p w14:paraId="6126A18C">
      <w:pPr>
        <w:pStyle w:val="32"/>
        <w:jc w:val="both"/>
      </w:pPr>
    </w:p>
    <w:p w14:paraId="22106149">
      <w:pPr>
        <w:pStyle w:val="32"/>
        <w:tabs>
          <w:tab w:val="left" w:pos="1560"/>
        </w:tabs>
        <w:jc w:val="both"/>
      </w:pPr>
      <w:r>
        <w:t>PD =</w:t>
      </w:r>
      <w:r>
        <w:tab/>
      </w:r>
      <w:r>
        <w:t>(M2Cu-M1Cu) x FCu</w:t>
      </w:r>
    </w:p>
    <w:p w14:paraId="6970F6CC">
      <w:pPr>
        <w:pStyle w:val="32"/>
        <w:tabs>
          <w:tab w:val="left" w:pos="1560"/>
        </w:tabs>
        <w:jc w:val="both"/>
      </w:pPr>
    </w:p>
    <w:p w14:paraId="2DB8E2AD">
      <w:pPr>
        <w:pStyle w:val="32"/>
        <w:tabs>
          <w:tab w:val="left" w:pos="1985"/>
        </w:tabs>
        <w:ind w:left="1985" w:hanging="1277"/>
        <w:jc w:val="both"/>
      </w:pPr>
      <w:r>
        <w:t>PD:</w:t>
      </w:r>
      <w:r>
        <w:tab/>
      </w:r>
      <w:r>
        <w:t>price difference (EUR/km)</w:t>
      </w:r>
    </w:p>
    <w:p w14:paraId="28DCD646">
      <w:pPr>
        <w:pStyle w:val="32"/>
        <w:tabs>
          <w:tab w:val="left" w:pos="1985"/>
        </w:tabs>
        <w:ind w:left="1985" w:hanging="1277"/>
        <w:jc w:val="both"/>
      </w:pPr>
      <w:r>
        <w:t>M1</w:t>
      </w:r>
      <w:r>
        <w:rPr>
          <w:vertAlign w:val="subscript"/>
        </w:rPr>
        <w:t>Cu</w:t>
      </w:r>
      <w:r>
        <w:t>:</w:t>
      </w:r>
      <w:r>
        <w:tab/>
      </w:r>
      <w:r>
        <w:t>metal price on which offer is based EUR/t</w:t>
      </w:r>
    </w:p>
    <w:p w14:paraId="3B150396">
      <w:pPr>
        <w:pStyle w:val="32"/>
        <w:tabs>
          <w:tab w:val="left" w:pos="1985"/>
        </w:tabs>
        <w:ind w:left="1985" w:hanging="1277"/>
        <w:jc w:val="both"/>
      </w:pPr>
      <w:r>
        <w:t>M2</w:t>
      </w:r>
      <w:r>
        <w:rPr>
          <w:vertAlign w:val="subscript"/>
        </w:rPr>
        <w:t>Cu</w:t>
      </w:r>
      <w:r>
        <w:t>:</w:t>
      </w:r>
      <w:r>
        <w:tab/>
      </w:r>
      <w:r>
        <w:t>metal price in EUR/t at the time of order as mentioned above (as described above and converted to Euros based on the relevant exchange rate US$/EUR)</w:t>
      </w:r>
    </w:p>
    <w:p w14:paraId="30376843">
      <w:pPr>
        <w:pStyle w:val="32"/>
        <w:tabs>
          <w:tab w:val="left" w:pos="1985"/>
        </w:tabs>
        <w:ind w:left="1985" w:hanging="1277"/>
        <w:jc w:val="both"/>
      </w:pPr>
      <w:r>
        <w:t>F</w:t>
      </w:r>
      <w:r>
        <w:rPr>
          <w:vertAlign w:val="subscript"/>
        </w:rPr>
        <w:t>Cu</w:t>
      </w:r>
      <w:r>
        <w:t>:</w:t>
      </w:r>
      <w:r>
        <w:tab/>
      </w:r>
      <w:r>
        <w:t>variation factor Copper (see pricing sheet)</w:t>
      </w:r>
    </w:p>
    <w:p w14:paraId="58A792DA">
      <w:pPr>
        <w:pStyle w:val="32"/>
        <w:jc w:val="both"/>
      </w:pPr>
    </w:p>
    <w:p w14:paraId="2FB99E19">
      <w:pPr>
        <w:pStyle w:val="34"/>
      </w:pPr>
      <w:bookmarkStart w:id="18" w:name="_Hlk90299688"/>
      <w:r>
        <w:t>NKT will always cover the exact quantity of non-ferrous metals needed for the manufacturing of the products ordered.</w:t>
      </w:r>
    </w:p>
    <w:p w14:paraId="7EF2E3F1">
      <w:pPr>
        <w:pStyle w:val="34"/>
      </w:pPr>
      <w:r>
        <w:t xml:space="preserve">Should an order be cancelled or quantities reduced after covering the non-ferrous metals prices, NKT has to sell the surplus of non-ferrous metals purchased at the valid market price. Should there be a price difference, this will be settled between </w:t>
      </w:r>
      <w:r>
        <w:rPr>
          <w:highlight w:val="yellow"/>
        </w:rPr>
        <w:t>NKT Cables Portugal, S.A.</w:t>
      </w:r>
      <w:r>
        <w:t xml:space="preserve"> and NKT.</w:t>
      </w:r>
    </w:p>
    <w:p w14:paraId="471FA3F7">
      <w:pPr>
        <w:pStyle w:val="34"/>
      </w:pPr>
      <w:r>
        <w:t>Should the order volume be increased after fixing the metal price NKT shall cover the additionally needed extra non-ferrous metals according to the rules described above.</w:t>
      </w:r>
      <w:bookmarkEnd w:id="18"/>
    </w:p>
    <w:p w14:paraId="23E207AF">
      <w:pPr>
        <w:pStyle w:val="2"/>
      </w:pPr>
      <w:bookmarkStart w:id="19" w:name="_Toc8A402BE3C0F3E645B680D409B25AE1F1"/>
      <w:r>
        <w:t>Warranty</w:t>
      </w:r>
      <w:bookmarkEnd w:id="19"/>
    </w:p>
    <w:p w14:paraId="314D8CF5">
      <w:pPr>
        <w:pStyle w:val="34"/>
        <w:numPr>
          <w:ilvl w:val="1"/>
          <w:numId w:val="3"/>
        </w:numPr>
        <w:tabs>
          <w:tab w:val="clear" w:pos="0"/>
        </w:tabs>
        <w:ind w:left="709" w:hanging="709"/>
      </w:pPr>
      <w:r>
        <w:t>NKT shall be liable for defects which occur within 24 months after the respective transfer of risk, but no later than 28 months after receipt of dispatch notice.</w:t>
      </w:r>
    </w:p>
    <w:p w14:paraId="07255851">
      <w:pPr>
        <w:pStyle w:val="2"/>
      </w:pPr>
      <w:bookmarkStart w:id="20" w:name="_TocEF5D142754DDE540BC88071B26807ACC"/>
      <w:r>
        <w:t>Limitation of Liability</w:t>
      </w:r>
      <w:bookmarkEnd w:id="20"/>
    </w:p>
    <w:p w14:paraId="3EB9CF94">
      <w:pPr>
        <w:pStyle w:val="34"/>
      </w:pPr>
      <w:r>
        <w:t>NKT's overall liability arising out of or in connection with this contract is limited to 10% of the original total net contract value. This includes, but is not limited to, claims arising from liability for defects, statutory claims, claims arising from termination and contractual penalties for delay, etc.</w:t>
      </w:r>
    </w:p>
    <w:p w14:paraId="795D246C">
      <w:pPr>
        <w:pStyle w:val="34"/>
      </w:pPr>
      <w:r>
        <w:t xml:space="preserve">NKT's liability for loss of profit, loss of business opportunities, loss of electrical energy, operational interruption, loss of production, increased financing or capital costs, damages which do not affect the goods itself (e.g. claims of third parties) as well as other consequential damages, are excluded. </w:t>
      </w:r>
    </w:p>
    <w:p w14:paraId="054B4444">
      <w:pPr>
        <w:pStyle w:val="34"/>
      </w:pPr>
      <w:r>
        <w:t>The above limitation of liability shall not apply in cases of damage caused intentionally or by gross negligence and in cases in which liability cannot be limited due to mandatory law, in particular due to injury to life, body or health. In such cases, NKT's liability is unlimited.</w:t>
      </w:r>
    </w:p>
    <w:p w14:paraId="33869016">
      <w:pPr>
        <w:pStyle w:val="2"/>
      </w:pPr>
      <w:bookmarkStart w:id="21" w:name="_Toc6797D2F25289F44E85350623BE8504BF"/>
      <w:r>
        <w:t>Validity</w:t>
      </w:r>
      <w:bookmarkEnd w:id="21"/>
    </w:p>
    <w:p w14:paraId="4C527C59">
      <w:pPr>
        <w:pStyle w:val="34"/>
      </w:pPr>
      <w:r>
        <w:t xml:space="preserve">This offer is valid until </w:t>
      </w:r>
      <w:r>
        <w:rPr>
          <w:highlight w:val="yellow"/>
        </w:rPr>
        <w:t>31.01.2026</w:t>
      </w:r>
      <w:r>
        <w:t>. Accordingly, our prices and the times stated are only valid up to this date.</w:t>
      </w:r>
    </w:p>
    <w:p w14:paraId="137952CD">
      <w:pPr>
        <w:pStyle w:val="2"/>
        <w:keepLines/>
      </w:pPr>
      <w:bookmarkStart w:id="22" w:name="_TocE374016EECCF71488B0585464207FC4D"/>
      <w:r>
        <w:t>Contact</w:t>
      </w:r>
      <w:bookmarkEnd w:id="22"/>
    </w:p>
    <w:p w14:paraId="306A4E9A">
      <w:pPr>
        <w:pStyle w:val="32"/>
        <w:keepLines/>
        <w:ind w:right="1701"/>
      </w:pPr>
      <w:r>
        <w:rPr>
          <w:highlight w:val="yellow"/>
        </w:rPr>
        <w:t>Senior Commercial &amp; Tender Manager</w:t>
      </w:r>
      <w:r>
        <w:t xml:space="preserve"> </w:t>
      </w:r>
      <w:r>
        <w:rPr>
          <w:highlight w:val="yellow"/>
        </w:rPr>
        <w:t xml:space="preserve">Mrs. </w:t>
      </w:r>
      <w:r>
        <w:rPr>
          <w:b/>
          <w:bCs/>
          <w:highlight w:val="yellow"/>
        </w:rPr>
        <w:t>Andrea Zedlitz</w:t>
      </w:r>
      <w:r>
        <w:t xml:space="preserve"> will be the contact person of NKT for commercial issues and can be reached at the following telephone numbers and addresses:</w:t>
      </w:r>
      <w:r>
        <w:tab/>
      </w:r>
    </w:p>
    <w:p w14:paraId="79563266">
      <w:pPr>
        <w:pStyle w:val="32"/>
        <w:keepLines/>
        <w:ind w:left="709" w:right="1701"/>
      </w:pPr>
      <w:r>
        <w:br w:type="textWrapping"/>
      </w:r>
      <w:r>
        <w:t xml:space="preserve">Mobile: </w:t>
      </w:r>
      <w:r>
        <w:rPr>
          <w:highlight w:val="yellow"/>
        </w:rPr>
        <w:t>+491736293924</w:t>
      </w:r>
      <w:r>
        <w:tab/>
      </w:r>
      <w:r>
        <w:br w:type="textWrapping"/>
      </w:r>
      <w:r>
        <w:t xml:space="preserve">E-Mail: </w:t>
      </w:r>
      <w:r>
        <w:rPr>
          <w:highlight w:val="yellow"/>
        </w:rPr>
        <w:t>Andrea.Zedlitz@nkt.com</w:t>
      </w:r>
      <w:r>
        <w:br w:type="textWrapping"/>
      </w:r>
      <w:r>
        <w:br w:type="textWrapping"/>
      </w:r>
      <w:r>
        <w:rPr>
          <w:highlight w:val="yellow"/>
        </w:rPr>
        <w:t>Senior Technical Offer &amp; Order Manager</w:t>
      </w:r>
      <w:r>
        <w:t xml:space="preserve"> </w:t>
      </w:r>
      <w:r>
        <w:rPr>
          <w:highlight w:val="yellow"/>
        </w:rPr>
        <w:t xml:space="preserve">Mr. </w:t>
      </w:r>
      <w:r>
        <w:rPr>
          <w:b/>
          <w:bCs/>
          <w:highlight w:val="yellow"/>
        </w:rPr>
        <w:t>Oliver Sablic</w:t>
      </w:r>
      <w:r>
        <w:t xml:space="preserve"> will be the contact person of NKT for technical issues and can be reached at the following telephone numbers and addresses:</w:t>
      </w:r>
      <w:r>
        <w:br w:type="textWrapping"/>
      </w:r>
      <w:r>
        <w:br w:type="textWrapping"/>
      </w:r>
      <w:r>
        <w:tab/>
      </w:r>
      <w:r>
        <w:br w:type="textWrapping"/>
      </w:r>
      <w:r>
        <w:t xml:space="preserve">Mobile: </w:t>
      </w:r>
      <w:r>
        <w:rPr>
          <w:highlight w:val="yellow"/>
        </w:rPr>
        <w:t>+491607479305</w:t>
      </w:r>
      <w:r>
        <w:tab/>
      </w:r>
      <w:r>
        <w:br w:type="textWrapping"/>
      </w:r>
      <w:r>
        <w:t xml:space="preserve">E-Mail: </w:t>
      </w:r>
      <w:r>
        <w:rPr>
          <w:highlight w:val="yellow"/>
        </w:rPr>
        <w:t>Oliver.Sablic@nkt.com</w:t>
      </w:r>
    </w:p>
    <w:p w14:paraId="7AD865B1">
      <w:pPr>
        <w:keepNext/>
        <w:keepLines/>
        <w:rPr>
          <w:lang w:val="en-GB"/>
        </w:rPr>
      </w:pPr>
    </w:p>
    <w:p w14:paraId="50782B51">
      <w:pPr>
        <w:keepNext/>
        <w:keepLines/>
        <w:rPr>
          <w:b/>
          <w:bCs/>
          <w:lang w:val="en-GB"/>
        </w:rPr>
      </w:pPr>
      <w:r>
        <w:rPr>
          <w:b/>
          <w:bCs/>
          <w:lang w:val="en-GB"/>
        </w:rPr>
        <w:t>Best wishes from the NKT team.</w:t>
      </w:r>
    </w:p>
    <w:p w14:paraId="24DD025A">
      <w:pPr>
        <w:keepNext/>
        <w:keepLines/>
        <w:rPr>
          <w:b/>
          <w:bCs/>
          <w:lang w:val="en-GB"/>
        </w:rPr>
      </w:pPr>
    </w:p>
    <w:p w14:paraId="36AB6619">
      <w:pPr>
        <w:keepNext/>
        <w:keepLines/>
        <w:rPr>
          <w:lang w:val="en-GB"/>
        </w:rPr>
      </w:pPr>
    </w:p>
    <w:p w14:paraId="73D72960">
      <w:pPr>
        <w:keepNext/>
        <w:keepLines/>
        <w:rPr>
          <w:lang w:val="en-GB"/>
        </w:rPr>
      </w:pPr>
    </w:p>
    <w:p w14:paraId="661A5958">
      <w:pPr>
        <w:keepNext/>
        <w:keepLines/>
        <w:rPr>
          <w:lang w:val="en-GB"/>
        </w:rPr>
      </w:pPr>
    </w:p>
    <w:p w14:paraId="56815B30">
      <w:pPr>
        <w:keepNext/>
        <w:keepLines/>
        <w:rPr>
          <w:lang w:val="en-GB"/>
        </w:rPr>
      </w:pPr>
    </w:p>
    <w:p w14:paraId="3F27E048">
      <w:pPr>
        <w:keepNext/>
        <w:keepLines/>
        <w:rPr>
          <w:lang w:val="en-GB"/>
        </w:rPr>
      </w:pPr>
    </w:p>
    <w:p w14:paraId="1871246E">
      <w:pPr>
        <w:keepNext/>
        <w:keepLines/>
        <w:rPr>
          <w:lang w:val="en-GB"/>
        </w:rPr>
      </w:pPr>
    </w:p>
    <w:p w14:paraId="5D127D42">
      <w:pPr>
        <w:keepNext/>
        <w:keepLines/>
        <w:rPr>
          <w:lang w:val="en-GB"/>
        </w:rPr>
      </w:pPr>
    </w:p>
    <w:p w14:paraId="4E8C3A22">
      <w:pPr>
        <w:keepNext/>
        <w:keepLines/>
        <w:rPr>
          <w:lang w:val="en-GB"/>
        </w:rPr>
      </w:pPr>
    </w:p>
    <w:p w14:paraId="13E3984D">
      <w:pPr>
        <w:keepNext/>
        <w:keepLines/>
        <w:rPr>
          <w:lang w:val="en-GB"/>
        </w:rPr>
      </w:pPr>
    </w:p>
    <w:p w14:paraId="1CE3E069">
      <w:pPr>
        <w:keepNext/>
        <w:keepLines/>
        <w:rPr>
          <w:lang w:val="en-GB"/>
        </w:rPr>
      </w:pPr>
    </w:p>
    <w:p w14:paraId="3C87E708">
      <w:pPr>
        <w:keepNext/>
        <w:keepLines/>
        <w:rPr>
          <w:lang w:val="en-GB"/>
        </w:rPr>
      </w:pPr>
    </w:p>
    <w:p w14:paraId="3A062F2A">
      <w:pPr>
        <w:keepNext/>
        <w:keepLines/>
        <w:rPr>
          <w:lang w:val="en-GB"/>
        </w:rPr>
      </w:pPr>
    </w:p>
    <w:p w14:paraId="7692C576">
      <w:pPr>
        <w:keepNext/>
        <w:keepLines/>
        <w:rPr>
          <w:lang w:val="en-GB"/>
        </w:rPr>
      </w:pPr>
    </w:p>
    <w:p w14:paraId="71EB4F26">
      <w:pPr>
        <w:keepNext/>
        <w:keepLines/>
        <w:rPr>
          <w:lang w:val="en-GB"/>
        </w:rPr>
      </w:pPr>
    </w:p>
    <w:p w14:paraId="4EB784C1">
      <w:pPr>
        <w:keepNext/>
        <w:keepLines/>
        <w:rPr>
          <w:lang w:val="en-GB"/>
        </w:rPr>
      </w:pPr>
    </w:p>
    <w:p w14:paraId="1927D746">
      <w:pPr>
        <w:keepNext/>
        <w:keepLines/>
        <w:rPr>
          <w:lang w:val="en-GB"/>
        </w:rPr>
      </w:pPr>
      <w:r>
        <w:rPr>
          <w:lang w:val="en-GB"/>
        </w:rPr>
        <w:t>This offer was automatically created and is valid without signature.</w:t>
      </w:r>
    </w:p>
    <w:sectPr>
      <w:pgSz w:w="11906" w:h="16838"/>
      <w:pgMar w:top="1701" w:right="1417" w:bottom="1701" w:left="1417" w:header="1020" w:footer="567"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6"/>
      <w:tblW w:w="9070" w:type="dxa"/>
      <w:tblInd w:w="0" w:type="dxa"/>
      <w:tblLayout w:type="fixed"/>
      <w:tblCellMar>
        <w:top w:w="0" w:type="dxa"/>
        <w:left w:w="107" w:type="dxa"/>
        <w:bottom w:w="0" w:type="dxa"/>
        <w:right w:w="107" w:type="dxa"/>
      </w:tblCellMar>
    </w:tblPr>
    <w:tblGrid>
      <w:gridCol w:w="2874"/>
      <w:gridCol w:w="2300"/>
      <w:gridCol w:w="1948"/>
      <w:gridCol w:w="1948"/>
    </w:tblGrid>
    <w:tr w14:paraId="6AA89D43">
      <w:tblPrEx>
        <w:tblCellMar>
          <w:top w:w="0" w:type="dxa"/>
          <w:left w:w="107" w:type="dxa"/>
          <w:bottom w:w="0" w:type="dxa"/>
          <w:right w:w="107" w:type="dxa"/>
        </w:tblCellMar>
      </w:tblPrEx>
      <w:tc>
        <w:tcPr>
          <w:tcW w:w="2834" w:type="dxa"/>
        </w:tcPr>
        <w:p w14:paraId="6FCFE556">
          <w:r>
            <w:t>NKT GmbH &amp; Co. KG</w:t>
          </w:r>
        </w:p>
      </w:tc>
      <w:tc>
        <w:tcPr>
          <w:tcW w:w="2267" w:type="dxa"/>
        </w:tcPr>
        <w:p w14:paraId="159DFD5F">
          <w:r>
            <w:t>28060</w:t>
          </w:r>
          <w:r>
            <w:br w:type="textWrapping"/>
          </w:r>
          <w:r>
            <w:t>Revision: 0</w:t>
          </w:r>
        </w:p>
      </w:tc>
      <w:tc>
        <w:tcPr>
          <w:tcW w:w="1920" w:type="dxa"/>
        </w:tcPr>
        <w:p w14:paraId="690DD2FE">
          <w:r>
            <w:t>Confidential</w:t>
          </w:r>
        </w:p>
      </w:tc>
      <w:tc>
        <w:tcPr>
          <w:tcW w:w="1920" w:type="dxa"/>
        </w:tcPr>
        <w:p w14:paraId="52643DED">
          <w:pPr>
            <w:jc w:val="right"/>
            <w:rPr>
              <w:rFonts w:ascii="Georgia" w:hAnsi="Georgia" w:eastAsia="Georgia" w:cs="Georgia"/>
              <w:b/>
            </w:rPr>
          </w:pPr>
          <w:r>
            <w:rPr>
              <w:rFonts w:ascii="Georgia" w:hAnsi="Georgia" w:eastAsia="Georgia" w:cs="Georgia"/>
              <w:b/>
            </w:rPr>
            <w:t xml:space="preserve">Page </w:t>
          </w:r>
          <w:r>
            <w:rPr>
              <w:rFonts w:ascii="Georgia" w:hAnsi="Georgia" w:eastAsia="Georgia" w:cs="Georgia"/>
              <w:b/>
            </w:rPr>
            <w:fldChar w:fldCharType="begin"/>
          </w:r>
          <w:r>
            <w:rPr>
              <w:rFonts w:ascii="Georgia" w:hAnsi="Georgia" w:eastAsia="Georgia" w:cs="Georgia"/>
              <w:b/>
            </w:rPr>
            <w:instrText xml:space="preserve">Page</w:instrText>
          </w:r>
          <w:r>
            <w:rPr>
              <w:rFonts w:ascii="Georgia" w:hAnsi="Georgia" w:eastAsia="Georgia" w:cs="Georgia"/>
              <w:b/>
            </w:rPr>
            <w:fldChar w:fldCharType="separate"/>
          </w:r>
          <w:r>
            <w:rPr>
              <w:rFonts w:ascii="Georgia" w:hAnsi="Georgia" w:eastAsia="Georgia" w:cs="Georgia"/>
              <w:b/>
            </w:rPr>
            <w:fldChar w:fldCharType="end"/>
          </w:r>
          <w:r>
            <w:rPr>
              <w:rFonts w:ascii="Georgia" w:hAnsi="Georgia" w:eastAsia="Georgia" w:cs="Georgia"/>
              <w:b/>
            </w:rPr>
            <w:t xml:space="preserve"> / </w:t>
          </w:r>
          <w:r>
            <w:rPr>
              <w:rFonts w:ascii="Georgia" w:hAnsi="Georgia" w:eastAsia="Georgia" w:cs="Georgia"/>
              <w:b/>
            </w:rPr>
            <w:fldChar w:fldCharType="begin"/>
          </w:r>
          <w:r>
            <w:rPr>
              <w:rFonts w:ascii="Georgia" w:hAnsi="Georgia" w:eastAsia="Georgia" w:cs="Georgia"/>
              <w:b/>
            </w:rPr>
            <w:instrText xml:space="preserve">NumPages</w:instrText>
          </w:r>
          <w:r>
            <w:rPr>
              <w:rFonts w:ascii="Georgia" w:hAnsi="Georgia" w:eastAsia="Georgia" w:cs="Georgia"/>
              <w:b/>
            </w:rPr>
            <w:fldChar w:fldCharType="separate"/>
          </w:r>
          <w:r>
            <w:rPr>
              <w:rFonts w:ascii="Georgia" w:hAnsi="Georgia" w:eastAsia="Georgia" w:cs="Georgia"/>
              <w:b/>
            </w:rPr>
            <w:fldChar w:fldCharType="end"/>
          </w:r>
        </w:p>
      </w:tc>
    </w:tr>
  </w:tbl>
  <w:p w14:paraId="5A31B440"/>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98"/>
      <w:gridCol w:w="3089"/>
      <w:gridCol w:w="3101"/>
    </w:tblGrid>
    <w:tr w14:paraId="63A69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82" w:type="dxa"/>
        </w:tcPr>
        <w:p w14:paraId="0F6FBC99">
          <w:pPr>
            <w:pStyle w:val="15"/>
            <w:rPr>
              <w:sz w:val="10"/>
              <w:szCs w:val="10"/>
              <w:lang w:val="es-ES"/>
            </w:rPr>
          </w:pPr>
          <w:r>
            <w:rPr>
              <w:sz w:val="10"/>
              <w:szCs w:val="10"/>
              <w:lang w:val="en-GB"/>
            </w:rPr>
            <w:t>Commerzbank AG -Lübeckertordamm 5</w:t>
          </w:r>
          <w:r>
            <w:rPr>
              <w:sz w:val="10"/>
              <w:szCs w:val="10"/>
              <w:lang w:val="en-GB"/>
            </w:rPr>
            <w:br w:type="textWrapping"/>
          </w:r>
          <w:r>
            <w:rPr>
              <w:sz w:val="10"/>
              <w:szCs w:val="10"/>
              <w:lang w:val="en-GB"/>
            </w:rPr>
            <w:t>20099 Hamburg</w:t>
          </w:r>
          <w:r>
            <w:rPr>
              <w:sz w:val="10"/>
              <w:szCs w:val="10"/>
              <w:lang w:val="en-GB"/>
            </w:rPr>
            <w:br w:type="textWrapping"/>
          </w:r>
          <w:r>
            <w:rPr>
              <w:sz w:val="10"/>
              <w:szCs w:val="10"/>
              <w:lang w:val="en-GB"/>
            </w:rPr>
            <w:t xml:space="preserve">Account. </w:t>
          </w:r>
          <w:r>
            <w:rPr>
              <w:sz w:val="10"/>
              <w:szCs w:val="10"/>
              <w:lang w:val="es-ES"/>
            </w:rPr>
            <w:t>0621951300 · BLZ 20040000</w:t>
          </w:r>
          <w:r>
            <w:rPr>
              <w:sz w:val="10"/>
              <w:szCs w:val="10"/>
              <w:lang w:val="es-ES"/>
            </w:rPr>
            <w:br w:type="textWrapping"/>
          </w:r>
          <w:r>
            <w:rPr>
              <w:sz w:val="10"/>
              <w:szCs w:val="10"/>
              <w:lang w:val="es-ES"/>
            </w:rPr>
            <w:t>Swift/BIC: COBADEFFX</w:t>
          </w:r>
          <w:r>
            <w:rPr>
              <w:sz w:val="10"/>
              <w:szCs w:val="10"/>
              <w:lang w:val="es-ES"/>
            </w:rPr>
            <w:br w:type="textWrapping"/>
          </w:r>
          <w:r>
            <w:rPr>
              <w:sz w:val="10"/>
              <w:szCs w:val="10"/>
              <w:lang w:val="es-ES"/>
            </w:rPr>
            <w:t>IBAN: DE78 2004 0000 0622 1717 00</w:t>
          </w:r>
        </w:p>
      </w:tc>
      <w:tc>
        <w:tcPr>
          <w:tcW w:w="3182" w:type="dxa"/>
        </w:tcPr>
        <w:p w14:paraId="4CA30350">
          <w:pPr>
            <w:pStyle w:val="15"/>
            <w:rPr>
              <w:sz w:val="10"/>
              <w:szCs w:val="10"/>
            </w:rPr>
          </w:pPr>
          <w:r>
            <w:rPr>
              <w:sz w:val="10"/>
              <w:szCs w:val="10"/>
              <w:lang w:val="en-GB"/>
            </w:rPr>
            <w:t>Head Office: Cologne</w:t>
          </w:r>
          <w:r>
            <w:rPr>
              <w:sz w:val="10"/>
              <w:szCs w:val="10"/>
              <w:lang w:val="en-GB"/>
            </w:rPr>
            <w:br w:type="textWrapping"/>
          </w:r>
          <w:r>
            <w:rPr>
              <w:sz w:val="10"/>
              <w:szCs w:val="10"/>
              <w:lang w:val="en-GB"/>
            </w:rPr>
            <w:t>Registration Court: Amtsgericht Cologne,</w:t>
          </w:r>
          <w:r>
            <w:rPr>
              <w:sz w:val="10"/>
              <w:szCs w:val="10"/>
              <w:lang w:val="en-GB"/>
            </w:rPr>
            <w:br w:type="textWrapping"/>
          </w:r>
          <w:r>
            <w:rPr>
              <w:sz w:val="10"/>
              <w:szCs w:val="10"/>
              <w:lang w:val="en-GB"/>
            </w:rPr>
            <w:t xml:space="preserve">No. </w:t>
          </w:r>
          <w:r>
            <w:rPr>
              <w:sz w:val="10"/>
              <w:szCs w:val="10"/>
            </w:rPr>
            <w:t>HRA 30677 · VAT Reg. No. DE 815 517 191</w:t>
          </w:r>
          <w:r>
            <w:rPr>
              <w:sz w:val="10"/>
              <w:szCs w:val="10"/>
            </w:rPr>
            <w:br w:type="textWrapping"/>
          </w:r>
          <w:r>
            <w:rPr>
              <w:sz w:val="10"/>
              <w:szCs w:val="10"/>
            </w:rPr>
            <w:t>Tax-No.: 218/5728/1753</w:t>
          </w:r>
        </w:p>
      </w:tc>
      <w:tc>
        <w:tcPr>
          <w:tcW w:w="3182" w:type="dxa"/>
        </w:tcPr>
        <w:p w14:paraId="24C2E3B7">
          <w:pPr>
            <w:pStyle w:val="15"/>
            <w:rPr>
              <w:sz w:val="10"/>
              <w:szCs w:val="10"/>
            </w:rPr>
          </w:pPr>
          <w:r>
            <w:rPr>
              <w:sz w:val="10"/>
              <w:szCs w:val="10"/>
            </w:rPr>
            <w:t>Personally Liable Partner:</w:t>
          </w:r>
          <w:r>
            <w:rPr>
              <w:sz w:val="10"/>
              <w:szCs w:val="10"/>
            </w:rPr>
            <w:br w:type="textWrapping"/>
          </w:r>
          <w:r>
            <w:rPr>
              <w:sz w:val="10"/>
              <w:szCs w:val="10"/>
            </w:rPr>
            <w:t>NKT Verwaltungs GmbH Head Office: Cologne</w:t>
          </w:r>
          <w:r>
            <w:rPr>
              <w:sz w:val="10"/>
              <w:szCs w:val="10"/>
            </w:rPr>
            <w:br w:type="textWrapping"/>
          </w:r>
          <w:r>
            <w:rPr>
              <w:sz w:val="10"/>
              <w:szCs w:val="10"/>
            </w:rPr>
            <w:t>Registration Court: Amtsgericht Cologne · HRB 14110</w:t>
          </w:r>
          <w:r>
            <w:rPr>
              <w:sz w:val="10"/>
              <w:szCs w:val="10"/>
            </w:rPr>
            <w:br w:type="textWrapping"/>
          </w:r>
          <w:r>
            <w:rPr>
              <w:sz w:val="10"/>
              <w:szCs w:val="10"/>
            </w:rPr>
            <w:t>Board of Management: Lukas Sidler · Anders Jensen · Wilhelmus Hendrikx</w:t>
          </w:r>
        </w:p>
      </w:tc>
    </w:tr>
  </w:tbl>
  <w:p w14:paraId="0975A11E">
    <w:pPr>
      <w:pStyle w:val="15"/>
      <w:rPr>
        <w:sz w:val="10"/>
        <w:szCs w:val="1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6"/>
      <w:tblW w:w="9070" w:type="dxa"/>
      <w:tblInd w:w="0" w:type="dxa"/>
      <w:tblLayout w:type="fixed"/>
      <w:tblCellMar>
        <w:top w:w="0" w:type="dxa"/>
        <w:left w:w="107" w:type="dxa"/>
        <w:bottom w:w="0" w:type="dxa"/>
        <w:right w:w="107" w:type="dxa"/>
      </w:tblCellMar>
    </w:tblPr>
    <w:tblGrid>
      <w:gridCol w:w="2874"/>
      <w:gridCol w:w="2300"/>
      <w:gridCol w:w="1948"/>
      <w:gridCol w:w="1948"/>
    </w:tblGrid>
    <w:tr w14:paraId="72499C7F">
      <w:tblPrEx>
        <w:tblCellMar>
          <w:top w:w="0" w:type="dxa"/>
          <w:left w:w="107" w:type="dxa"/>
          <w:bottom w:w="0" w:type="dxa"/>
          <w:right w:w="107" w:type="dxa"/>
        </w:tblCellMar>
      </w:tblPrEx>
      <w:tc>
        <w:tcPr>
          <w:tcW w:w="2834" w:type="dxa"/>
        </w:tcPr>
        <w:p w14:paraId="6E24EA42">
          <w:r>
            <w:t>NKT GmbH &amp; Co. KG</w:t>
          </w:r>
        </w:p>
      </w:tc>
      <w:tc>
        <w:tcPr>
          <w:tcW w:w="2267" w:type="dxa"/>
        </w:tcPr>
        <w:p w14:paraId="193BE92E">
          <w:r>
            <w:t>28060</w:t>
          </w:r>
          <w:r>
            <w:br w:type="textWrapping"/>
          </w:r>
          <w:r>
            <w:t>Revision: 0</w:t>
          </w:r>
        </w:p>
      </w:tc>
      <w:tc>
        <w:tcPr>
          <w:tcW w:w="1920" w:type="dxa"/>
        </w:tcPr>
        <w:p w14:paraId="2A6D3F49">
          <w:r>
            <w:t>Confidential</w:t>
          </w:r>
        </w:p>
      </w:tc>
      <w:tc>
        <w:tcPr>
          <w:tcW w:w="1920" w:type="dxa"/>
        </w:tcPr>
        <w:p w14:paraId="3C21A87D">
          <w:pPr>
            <w:jc w:val="right"/>
            <w:rPr>
              <w:rFonts w:ascii="Georgia" w:hAnsi="Georgia" w:eastAsia="Georgia" w:cs="Georgia"/>
              <w:b/>
            </w:rPr>
          </w:pPr>
          <w:r>
            <w:rPr>
              <w:rFonts w:ascii="Georgia" w:hAnsi="Georgia" w:eastAsia="Georgia" w:cs="Georgia"/>
              <w:b/>
            </w:rPr>
            <w:t xml:space="preserve">Page </w:t>
          </w:r>
          <w:r>
            <w:rPr>
              <w:rFonts w:ascii="Georgia" w:hAnsi="Georgia" w:eastAsia="Georgia" w:cs="Georgia"/>
              <w:b/>
            </w:rPr>
            <w:fldChar w:fldCharType="begin"/>
          </w:r>
          <w:r>
            <w:rPr>
              <w:rFonts w:ascii="Georgia" w:hAnsi="Georgia" w:eastAsia="Georgia" w:cs="Georgia"/>
              <w:b/>
            </w:rPr>
            <w:instrText xml:space="preserve">Page</w:instrText>
          </w:r>
          <w:r>
            <w:rPr>
              <w:rFonts w:ascii="Georgia" w:hAnsi="Georgia" w:eastAsia="Georgia" w:cs="Georgia"/>
              <w:b/>
            </w:rPr>
            <w:fldChar w:fldCharType="separate"/>
          </w:r>
          <w:r>
            <w:rPr>
              <w:rFonts w:ascii="Georgia" w:hAnsi="Georgia" w:eastAsia="Georgia" w:cs="Georgia"/>
              <w:b/>
            </w:rPr>
            <w:t>2</w:t>
          </w:r>
          <w:r>
            <w:rPr>
              <w:rFonts w:ascii="Georgia" w:hAnsi="Georgia" w:eastAsia="Georgia" w:cs="Georgia"/>
              <w:b/>
            </w:rPr>
            <w:fldChar w:fldCharType="end"/>
          </w:r>
          <w:r>
            <w:rPr>
              <w:rFonts w:ascii="Georgia" w:hAnsi="Georgia" w:eastAsia="Georgia" w:cs="Georgia"/>
              <w:b/>
            </w:rPr>
            <w:t xml:space="preserve"> / </w:t>
          </w:r>
          <w:r>
            <w:rPr>
              <w:rFonts w:ascii="Georgia" w:hAnsi="Georgia" w:eastAsia="Georgia" w:cs="Georgia"/>
              <w:b/>
            </w:rPr>
            <w:fldChar w:fldCharType="begin"/>
          </w:r>
          <w:r>
            <w:rPr>
              <w:rFonts w:ascii="Georgia" w:hAnsi="Georgia" w:eastAsia="Georgia" w:cs="Georgia"/>
              <w:b/>
            </w:rPr>
            <w:instrText xml:space="preserve">NumPages</w:instrText>
          </w:r>
          <w:r>
            <w:rPr>
              <w:rFonts w:ascii="Georgia" w:hAnsi="Georgia" w:eastAsia="Georgia" w:cs="Georgia"/>
              <w:b/>
            </w:rPr>
            <w:fldChar w:fldCharType="separate"/>
          </w:r>
          <w:r>
            <w:rPr>
              <w:rFonts w:ascii="Georgia" w:hAnsi="Georgia" w:eastAsia="Georgia" w:cs="Georgia"/>
              <w:b/>
            </w:rPr>
            <w:t>3</w:t>
          </w:r>
          <w:r>
            <w:rPr>
              <w:rFonts w:ascii="Georgia" w:hAnsi="Georgia" w:eastAsia="Georgia" w:cs="Georgia"/>
              <w:b/>
            </w:rPr>
            <w:fldChar w:fldCharType="end"/>
          </w:r>
        </w:p>
      </w:tc>
    </w:tr>
  </w:tbl>
  <w:p w14:paraId="2C83E03D"/>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6"/>
      <w:tblW w:w="9070" w:type="dxa"/>
      <w:tblInd w:w="0" w:type="dxa"/>
      <w:tblLayout w:type="fixed"/>
      <w:tblCellMar>
        <w:top w:w="0" w:type="dxa"/>
        <w:left w:w="107" w:type="dxa"/>
        <w:bottom w:w="0" w:type="dxa"/>
        <w:right w:w="107" w:type="dxa"/>
      </w:tblCellMar>
    </w:tblPr>
    <w:tblGrid>
      <w:gridCol w:w="2874"/>
      <w:gridCol w:w="2300"/>
      <w:gridCol w:w="1948"/>
      <w:gridCol w:w="1948"/>
    </w:tblGrid>
    <w:tr w14:paraId="62A3AFB2">
      <w:tblPrEx>
        <w:tblCellMar>
          <w:top w:w="0" w:type="dxa"/>
          <w:left w:w="107" w:type="dxa"/>
          <w:bottom w:w="0" w:type="dxa"/>
          <w:right w:w="107" w:type="dxa"/>
        </w:tblCellMar>
      </w:tblPrEx>
      <w:tc>
        <w:tcPr>
          <w:tcW w:w="2834" w:type="dxa"/>
        </w:tcPr>
        <w:p w14:paraId="126A0643">
          <w:r>
            <w:t>NKT GmbH &amp; Co. KG</w:t>
          </w:r>
        </w:p>
      </w:tc>
      <w:tc>
        <w:tcPr>
          <w:tcW w:w="2267" w:type="dxa"/>
        </w:tcPr>
        <w:p w14:paraId="087EEC32">
          <w:r>
            <w:t>28060</w:t>
          </w:r>
          <w:r>
            <w:br w:type="textWrapping"/>
          </w:r>
          <w:r>
            <w:t>Revision: 0</w:t>
          </w:r>
        </w:p>
      </w:tc>
      <w:tc>
        <w:tcPr>
          <w:tcW w:w="1920" w:type="dxa"/>
        </w:tcPr>
        <w:p w14:paraId="0837E1F4">
          <w:r>
            <w:t>Confidential</w:t>
          </w:r>
        </w:p>
      </w:tc>
      <w:tc>
        <w:tcPr>
          <w:tcW w:w="1920" w:type="dxa"/>
        </w:tcPr>
        <w:p w14:paraId="62E4126C">
          <w:pPr>
            <w:jc w:val="right"/>
            <w:rPr>
              <w:rFonts w:ascii="Georgia" w:hAnsi="Georgia" w:eastAsia="Georgia" w:cs="Georgia"/>
              <w:b/>
            </w:rPr>
          </w:pPr>
          <w:r>
            <w:rPr>
              <w:rFonts w:ascii="Georgia" w:hAnsi="Georgia" w:eastAsia="Georgia" w:cs="Georgia"/>
              <w:b/>
            </w:rPr>
            <w:t xml:space="preserve">Page </w:t>
          </w:r>
          <w:r>
            <w:rPr>
              <w:rFonts w:ascii="Georgia" w:hAnsi="Georgia" w:eastAsia="Georgia" w:cs="Georgia"/>
              <w:b/>
            </w:rPr>
            <w:fldChar w:fldCharType="begin"/>
          </w:r>
          <w:r>
            <w:rPr>
              <w:rFonts w:ascii="Georgia" w:hAnsi="Georgia" w:eastAsia="Georgia" w:cs="Georgia"/>
              <w:b/>
            </w:rPr>
            <w:instrText xml:space="preserve">Page</w:instrText>
          </w:r>
          <w:r>
            <w:rPr>
              <w:rFonts w:ascii="Georgia" w:hAnsi="Georgia" w:eastAsia="Georgia" w:cs="Georgia"/>
              <w:b/>
            </w:rPr>
            <w:fldChar w:fldCharType="separate"/>
          </w:r>
          <w:r>
            <w:rPr>
              <w:rFonts w:ascii="Georgia" w:hAnsi="Georgia" w:eastAsia="Georgia" w:cs="Georgia"/>
              <w:b/>
            </w:rPr>
            <w:t>4</w:t>
          </w:r>
          <w:r>
            <w:rPr>
              <w:rFonts w:ascii="Georgia" w:hAnsi="Georgia" w:eastAsia="Georgia" w:cs="Georgia"/>
              <w:b/>
            </w:rPr>
            <w:fldChar w:fldCharType="end"/>
          </w:r>
          <w:r>
            <w:rPr>
              <w:rFonts w:ascii="Georgia" w:hAnsi="Georgia" w:eastAsia="Georgia" w:cs="Georgia"/>
              <w:b/>
            </w:rPr>
            <w:t xml:space="preserve"> / </w:t>
          </w:r>
          <w:r>
            <w:rPr>
              <w:rFonts w:ascii="Georgia" w:hAnsi="Georgia" w:eastAsia="Georgia" w:cs="Georgia"/>
              <w:b/>
            </w:rPr>
            <w:fldChar w:fldCharType="begin"/>
          </w:r>
          <w:r>
            <w:rPr>
              <w:rFonts w:ascii="Georgia" w:hAnsi="Georgia" w:eastAsia="Georgia" w:cs="Georgia"/>
              <w:b/>
            </w:rPr>
            <w:instrText xml:space="preserve">NumPages</w:instrText>
          </w:r>
          <w:r>
            <w:rPr>
              <w:rFonts w:ascii="Georgia" w:hAnsi="Georgia" w:eastAsia="Georgia" w:cs="Georgia"/>
              <w:b/>
            </w:rPr>
            <w:fldChar w:fldCharType="separate"/>
          </w:r>
          <w:r>
            <w:rPr>
              <w:rFonts w:ascii="Georgia" w:hAnsi="Georgia" w:eastAsia="Georgia" w:cs="Georgia"/>
              <w:b/>
            </w:rPr>
            <w:t>5</w:t>
          </w:r>
          <w:r>
            <w:rPr>
              <w:rFonts w:ascii="Georgia" w:hAnsi="Georgia" w:eastAsia="Georgia" w:cs="Georgia"/>
              <w:b/>
            </w:rPr>
            <w:fldChar w:fldCharType="end"/>
          </w:r>
        </w:p>
      </w:tc>
    </w:tr>
  </w:tbl>
  <w:p w14:paraId="440B1167"/>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9DDA8">
    <w:r>
      <w:drawing>
        <wp:anchor distT="0" distB="0" distL="114300" distR="114300" simplePos="0" relativeHeight="251659264" behindDoc="1" locked="0" layoutInCell="1" allowOverlap="1">
          <wp:simplePos x="0" y="0"/>
          <wp:positionH relativeFrom="margin">
            <wp:align>right</wp:align>
          </wp:positionH>
          <wp:positionV relativeFrom="paragraph">
            <wp:posOffset>0</wp:posOffset>
          </wp:positionV>
          <wp:extent cx="1080135" cy="277495"/>
          <wp:effectExtent l="0" t="0" r="6350" b="8890"/>
          <wp:wrapTight wrapText="bothSides">
            <wp:wrapPolygon>
              <wp:start x="0" y="0"/>
              <wp:lineTo x="0" y="20807"/>
              <wp:lineTo x="21346" y="20807"/>
              <wp:lineTo x="21346" y="0"/>
              <wp:lineTo x="0" y="0"/>
            </wp:wrapPolygon>
          </wp:wrapTight>
          <wp:docPr id="5"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48"/>
                  <pic:cNvPicPr preferRelativeResize="0">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80000" cy="27720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CCF2BB">
    <w:pPr>
      <w:jc w:val="right"/>
    </w:pPr>
    <w:r>
      <w:drawing>
        <wp:inline distT="0" distB="0" distL="0" distR="0">
          <wp:extent cx="1447800" cy="37147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447800" cy="37147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1E0F1A">
    <w:r>
      <w:drawing>
        <wp:anchor distT="0" distB="0" distL="114300" distR="114300" simplePos="0" relativeHeight="251660288" behindDoc="1" locked="0" layoutInCell="1" allowOverlap="1">
          <wp:simplePos x="0" y="0"/>
          <wp:positionH relativeFrom="margin">
            <wp:align>right</wp:align>
          </wp:positionH>
          <wp:positionV relativeFrom="paragraph">
            <wp:posOffset>0</wp:posOffset>
          </wp:positionV>
          <wp:extent cx="1080135" cy="277495"/>
          <wp:effectExtent l="0" t="0" r="6350" b="8890"/>
          <wp:wrapTight wrapText="bothSides">
            <wp:wrapPolygon>
              <wp:start x="0" y="0"/>
              <wp:lineTo x="0" y="20807"/>
              <wp:lineTo x="21346" y="20807"/>
              <wp:lineTo x="21346" y="0"/>
              <wp:lineTo x="0" y="0"/>
            </wp:wrapPolygon>
          </wp:wrapTight>
          <wp:docPr id="9"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48"/>
                  <pic:cNvPicPr preferRelativeResize="0">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80000" cy="277200"/>
                  </a:xfrm>
                  <a:prstGeom prst="rect">
                    <a:avLst/>
                  </a:prstGeom>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92138">
    <w:r>
      <w:drawing>
        <wp:anchor distT="0" distB="0" distL="114300" distR="114300" simplePos="0" relativeHeight="251660288" behindDoc="1" locked="0" layoutInCell="1" allowOverlap="1">
          <wp:simplePos x="0" y="0"/>
          <wp:positionH relativeFrom="margin">
            <wp:align>right</wp:align>
          </wp:positionH>
          <wp:positionV relativeFrom="paragraph">
            <wp:posOffset>0</wp:posOffset>
          </wp:positionV>
          <wp:extent cx="1080135" cy="277495"/>
          <wp:effectExtent l="0" t="0" r="6350" b="8890"/>
          <wp:wrapTight wrapText="bothSides">
            <wp:wrapPolygon>
              <wp:start x="0" y="0"/>
              <wp:lineTo x="0" y="20807"/>
              <wp:lineTo x="21346" y="20807"/>
              <wp:lineTo x="21346" y="0"/>
              <wp:lineTo x="0" y="0"/>
            </wp:wrapPolygon>
          </wp:wrapTight>
          <wp:docPr id="11"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48"/>
                  <pic:cNvPicPr preferRelativeResize="0">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80000" cy="2772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FA3F99"/>
    <w:multiLevelType w:val="singleLevel"/>
    <w:tmpl w:val="19FA3F99"/>
    <w:lvl w:ilvl="0" w:tentative="0">
      <w:start w:val="1"/>
      <w:numFmt w:val="bullet"/>
      <w:pStyle w:val="26"/>
      <w:suff w:val="space"/>
      <w:lvlText w:val="·"/>
      <w:lvlJc w:val="left"/>
      <w:pPr>
        <w:ind w:left="0" w:firstLine="0"/>
      </w:pPr>
    </w:lvl>
  </w:abstractNum>
  <w:abstractNum w:abstractNumId="1">
    <w:nsid w:val="668E1B66"/>
    <w:multiLevelType w:val="multilevel"/>
    <w:tmpl w:val="668E1B66"/>
    <w:lvl w:ilvl="0" w:tentative="0">
      <w:start w:val="1"/>
      <w:numFmt w:val="decimal"/>
      <w:pStyle w:val="2"/>
      <w:lvlText w:val="%1"/>
      <w:lvlJc w:val="left"/>
      <w:pPr>
        <w:tabs>
          <w:tab w:val="left" w:pos="0"/>
        </w:tabs>
        <w:ind w:left="0" w:firstLine="0"/>
      </w:pPr>
    </w:lvl>
    <w:lvl w:ilvl="1" w:tentative="0">
      <w:start w:val="1"/>
      <w:numFmt w:val="decimal"/>
      <w:pStyle w:val="34"/>
      <w:lvlText w:val="%1.%2"/>
      <w:lvlJc w:val="left"/>
      <w:pPr>
        <w:tabs>
          <w:tab w:val="left" w:pos="0"/>
        </w:tabs>
        <w:ind w:left="0" w:firstLine="0"/>
      </w:pPr>
    </w:lvl>
    <w:lvl w:ilvl="2" w:tentative="0">
      <w:start w:val="1"/>
      <w:numFmt w:val="decimal"/>
      <w:lvlText w:val="%3"/>
      <w:lvlJc w:val="left"/>
      <w:pPr>
        <w:tabs>
          <w:tab w:val="left" w:pos="0"/>
        </w:tabs>
        <w:ind w:left="0" w:firstLine="0"/>
      </w:pPr>
    </w:lvl>
    <w:lvl w:ilvl="3" w:tentative="0">
      <w:start w:val="1"/>
      <w:numFmt w:val="decimal"/>
      <w:lvlText w:val="%4"/>
      <w:lvlJc w:val="left"/>
      <w:pPr>
        <w:tabs>
          <w:tab w:val="left" w:pos="0"/>
        </w:tabs>
        <w:ind w:left="0" w:firstLine="0"/>
      </w:pPr>
    </w:lvl>
    <w:lvl w:ilvl="4" w:tentative="0">
      <w:start w:val="1"/>
      <w:numFmt w:val="decimal"/>
      <w:lvlText w:val="%5"/>
      <w:lvlJc w:val="left"/>
      <w:pPr>
        <w:tabs>
          <w:tab w:val="left" w:pos="0"/>
        </w:tabs>
        <w:ind w:left="0" w:firstLine="0"/>
      </w:pPr>
    </w:lvl>
    <w:lvl w:ilvl="5" w:tentative="0">
      <w:start w:val="1"/>
      <w:numFmt w:val="decimal"/>
      <w:lvlText w:val="%6"/>
      <w:lvlJc w:val="left"/>
      <w:pPr>
        <w:tabs>
          <w:tab w:val="left" w:pos="0"/>
        </w:tabs>
        <w:ind w:left="0" w:firstLine="0"/>
      </w:pPr>
    </w:lvl>
    <w:lvl w:ilvl="6" w:tentative="0">
      <w:start w:val="1"/>
      <w:numFmt w:val="decimal"/>
      <w:lvlText w:val="%7"/>
      <w:lvlJc w:val="left"/>
      <w:pPr>
        <w:tabs>
          <w:tab w:val="left" w:pos="0"/>
        </w:tabs>
        <w:ind w:left="0" w:firstLine="0"/>
      </w:pPr>
    </w:lvl>
    <w:lvl w:ilvl="7" w:tentative="0">
      <w:start w:val="1"/>
      <w:numFmt w:val="decimal"/>
      <w:lvlText w:val="%8"/>
      <w:lvlJc w:val="left"/>
      <w:pPr>
        <w:tabs>
          <w:tab w:val="left" w:pos="0"/>
        </w:tabs>
        <w:ind w:left="0" w:firstLine="0"/>
      </w:pPr>
    </w:lvl>
    <w:lvl w:ilvl="8" w:tentative="0">
      <w:start w:val="1"/>
      <w:numFmt w:val="decimal"/>
      <w:lvlText w:val="%9"/>
      <w:lvlJc w:val="left"/>
      <w:pPr>
        <w:tabs>
          <w:tab w:val="left" w:pos="0"/>
        </w:tabs>
        <w:ind w:left="0" w:firstLine="0"/>
      </w:pPr>
    </w:lvl>
  </w:abstractNum>
  <w:abstractNum w:abstractNumId="2">
    <w:nsid w:val="6B881BA9"/>
    <w:multiLevelType w:val="multilevel"/>
    <w:tmpl w:val="6B881BA9"/>
    <w:lvl w:ilvl="0" w:tentative="0">
      <w:start w:val="1"/>
      <w:numFmt w:val="decimal"/>
      <w:lvlText w:val="%1"/>
      <w:lvlJc w:val="left"/>
      <w:pPr>
        <w:tabs>
          <w:tab w:val="left" w:pos="0"/>
        </w:tabs>
        <w:ind w:left="0" w:firstLine="0"/>
      </w:pPr>
    </w:lvl>
    <w:lvl w:ilvl="1" w:tentative="0">
      <w:start w:val="1"/>
      <w:numFmt w:val="decimal"/>
      <w:lvlText w:val="%1.%2"/>
      <w:lvlJc w:val="left"/>
      <w:pPr>
        <w:tabs>
          <w:tab w:val="left" w:pos="0"/>
        </w:tabs>
        <w:ind w:left="0" w:firstLine="0"/>
      </w:pPr>
    </w:lvl>
    <w:lvl w:ilvl="2" w:tentative="0">
      <w:start w:val="1"/>
      <w:numFmt w:val="decimal"/>
      <w:lvlText w:val="%3"/>
      <w:lvlJc w:val="left"/>
      <w:pPr>
        <w:tabs>
          <w:tab w:val="left" w:pos="0"/>
        </w:tabs>
        <w:ind w:left="0" w:firstLine="0"/>
      </w:pPr>
    </w:lvl>
    <w:lvl w:ilvl="3" w:tentative="0">
      <w:start w:val="1"/>
      <w:numFmt w:val="decimal"/>
      <w:lvlText w:val="%4"/>
      <w:lvlJc w:val="left"/>
      <w:pPr>
        <w:tabs>
          <w:tab w:val="left" w:pos="0"/>
        </w:tabs>
        <w:ind w:left="0" w:firstLine="0"/>
      </w:pPr>
    </w:lvl>
    <w:lvl w:ilvl="4" w:tentative="0">
      <w:start w:val="1"/>
      <w:numFmt w:val="decimal"/>
      <w:lvlText w:val="%5"/>
      <w:lvlJc w:val="left"/>
      <w:pPr>
        <w:tabs>
          <w:tab w:val="left" w:pos="0"/>
        </w:tabs>
        <w:ind w:left="0" w:firstLine="0"/>
      </w:pPr>
    </w:lvl>
    <w:lvl w:ilvl="5" w:tentative="0">
      <w:start w:val="1"/>
      <w:numFmt w:val="decimal"/>
      <w:lvlText w:val="%6"/>
      <w:lvlJc w:val="left"/>
      <w:pPr>
        <w:tabs>
          <w:tab w:val="left" w:pos="0"/>
        </w:tabs>
        <w:ind w:left="0" w:firstLine="0"/>
      </w:pPr>
    </w:lvl>
    <w:lvl w:ilvl="6" w:tentative="0">
      <w:start w:val="1"/>
      <w:numFmt w:val="decimal"/>
      <w:lvlText w:val="%7"/>
      <w:lvlJc w:val="left"/>
      <w:pPr>
        <w:tabs>
          <w:tab w:val="left" w:pos="0"/>
        </w:tabs>
        <w:ind w:left="0" w:firstLine="0"/>
      </w:pPr>
    </w:lvl>
    <w:lvl w:ilvl="7" w:tentative="0">
      <w:start w:val="1"/>
      <w:numFmt w:val="decimal"/>
      <w:lvlText w:val="%8"/>
      <w:lvlJc w:val="left"/>
      <w:pPr>
        <w:tabs>
          <w:tab w:val="left" w:pos="0"/>
        </w:tabs>
        <w:ind w:left="0" w:firstLine="0"/>
      </w:pPr>
    </w:lvl>
    <w:lvl w:ilvl="8" w:tentative="0">
      <w:start w:val="1"/>
      <w:numFmt w:val="decimal"/>
      <w:lvlText w:val="%9"/>
      <w:lvlJc w:val="left"/>
      <w:pPr>
        <w:tabs>
          <w:tab w:val="left" w:pos="0"/>
        </w:tabs>
        <w:ind w:left="0" w:firstLine="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9"/>
  <w:doNotHyphenateCap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08AF"/>
    <w:rsid w:val="00054587"/>
    <w:rsid w:val="00075A99"/>
    <w:rsid w:val="00181EF2"/>
    <w:rsid w:val="00197A4F"/>
    <w:rsid w:val="002D4E11"/>
    <w:rsid w:val="00320135"/>
    <w:rsid w:val="003831E8"/>
    <w:rsid w:val="00533630"/>
    <w:rsid w:val="005B1FB3"/>
    <w:rsid w:val="006159DF"/>
    <w:rsid w:val="00625C50"/>
    <w:rsid w:val="006774B2"/>
    <w:rsid w:val="006D7915"/>
    <w:rsid w:val="007644D5"/>
    <w:rsid w:val="007D704B"/>
    <w:rsid w:val="008139B9"/>
    <w:rsid w:val="008B594F"/>
    <w:rsid w:val="00971193"/>
    <w:rsid w:val="00B33627"/>
    <w:rsid w:val="00BC0D62"/>
    <w:rsid w:val="00BC4B85"/>
    <w:rsid w:val="00CC08AF"/>
    <w:rsid w:val="00D2751E"/>
    <w:rsid w:val="00D82D39"/>
    <w:rsid w:val="00DA344A"/>
    <w:rsid w:val="00E243D6"/>
    <w:rsid w:val="00E47574"/>
    <w:rsid w:val="00F14DB2"/>
    <w:rsid w:val="00F25A11"/>
    <w:rsid w:val="00F40E6D"/>
    <w:rsid w:val="0AA178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pBdr>
        <w:top w:val="none" w:color="auto" w:sz="0" w:space="0"/>
        <w:left w:val="none" w:color="auto" w:sz="0" w:space="0"/>
        <w:bottom w:val="none" w:color="auto" w:sz="0" w:space="0"/>
        <w:right w:val="none" w:color="auto" w:sz="0" w:space="0"/>
      </w:pBdr>
    </w:pPr>
    <w:rPr>
      <w:rFonts w:ascii="Arial" w:hAnsi="Arial" w:eastAsia="Arial" w:cs="Arial"/>
      <w:sz w:val="18"/>
      <w:lang w:val="en-US" w:eastAsia="en-US" w:bidi="ar-SA"/>
    </w:rPr>
  </w:style>
  <w:style w:type="paragraph" w:styleId="2">
    <w:name w:val="heading 1"/>
    <w:basedOn w:val="1"/>
    <w:qFormat/>
    <w:uiPriority w:val="0"/>
    <w:pPr>
      <w:keepNext/>
      <w:numPr>
        <w:ilvl w:val="0"/>
        <w:numId w:val="1"/>
      </w:numPr>
      <w:spacing w:before="300" w:after="200"/>
      <w:ind w:left="708" w:right="1700" w:hanging="708"/>
      <w:outlineLvl w:val="0"/>
    </w:pPr>
    <w:rPr>
      <w:rFonts w:ascii="Georgia" w:hAnsi="Georgia" w:eastAsia="Georgia" w:cs="Georgia"/>
      <w:b/>
      <w:color w:val="1E326E"/>
    </w:rPr>
  </w:style>
  <w:style w:type="paragraph" w:styleId="3">
    <w:name w:val="heading 2"/>
    <w:basedOn w:val="1"/>
    <w:qFormat/>
    <w:uiPriority w:val="0"/>
    <w:pPr>
      <w:keepNext/>
      <w:spacing w:before="300" w:after="140"/>
      <w:ind w:right="1700"/>
      <w:outlineLvl w:val="1"/>
    </w:pPr>
    <w:rPr>
      <w:rFonts w:ascii="Georgia" w:hAnsi="Georgia" w:eastAsia="Georgia" w:cs="Georgia"/>
      <w:b/>
      <w:color w:val="1E326E"/>
    </w:rPr>
  </w:style>
  <w:style w:type="paragraph" w:styleId="4">
    <w:name w:val="heading 3"/>
    <w:basedOn w:val="1"/>
    <w:qFormat/>
    <w:uiPriority w:val="0"/>
    <w:pPr>
      <w:keepNext/>
      <w:outlineLvl w:val="2"/>
    </w:pPr>
  </w:style>
  <w:style w:type="paragraph" w:styleId="5">
    <w:name w:val="heading 4"/>
    <w:basedOn w:val="1"/>
    <w:qFormat/>
    <w:uiPriority w:val="0"/>
    <w:pPr>
      <w:keepNext/>
      <w:spacing w:before="300" w:after="140"/>
      <w:outlineLvl w:val="3"/>
    </w:pPr>
    <w:rPr>
      <w:rFonts w:ascii="Georgia" w:hAnsi="Georgia" w:eastAsia="Georgia" w:cs="Georgia"/>
      <w:b/>
      <w:color w:val="1E326E"/>
    </w:rPr>
  </w:style>
  <w:style w:type="paragraph" w:styleId="6">
    <w:name w:val="heading 5"/>
    <w:basedOn w:val="1"/>
    <w:qFormat/>
    <w:uiPriority w:val="0"/>
    <w:pPr>
      <w:outlineLvl w:val="4"/>
    </w:pPr>
  </w:style>
  <w:style w:type="paragraph" w:styleId="7">
    <w:name w:val="heading 6"/>
    <w:basedOn w:val="1"/>
    <w:qFormat/>
    <w:uiPriority w:val="0"/>
    <w:pPr>
      <w:outlineLvl w:val="5"/>
    </w:pPr>
  </w:style>
  <w:style w:type="paragraph" w:styleId="8">
    <w:name w:val="heading 7"/>
    <w:basedOn w:val="1"/>
    <w:qFormat/>
    <w:uiPriority w:val="0"/>
    <w:pPr>
      <w:outlineLvl w:val="6"/>
    </w:pPr>
  </w:style>
  <w:style w:type="paragraph" w:styleId="9">
    <w:name w:val="heading 8"/>
    <w:basedOn w:val="1"/>
    <w:qFormat/>
    <w:uiPriority w:val="0"/>
    <w:pPr>
      <w:outlineLvl w:val="7"/>
    </w:pPr>
  </w:style>
  <w:style w:type="paragraph" w:styleId="10">
    <w:name w:val="heading 9"/>
    <w:basedOn w:val="1"/>
    <w:qFormat/>
    <w:uiPriority w:val="0"/>
    <w:pPr>
      <w:outlineLvl w:val="8"/>
    </w:p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FollowedHyperlink"/>
    <w:basedOn w:val="11"/>
    <w:semiHidden/>
    <w:unhideWhenUsed/>
    <w:qFormat/>
    <w:uiPriority w:val="99"/>
    <w:rPr>
      <w:color w:val="954F72" w:themeColor="followedHyperlink"/>
      <w:u w:val="single"/>
      <w14:textFill>
        <w14:solidFill>
          <w14:schemeClr w14:val="folHlink"/>
        </w14:solidFill>
      </w14:textFill>
    </w:rPr>
  </w:style>
  <w:style w:type="character" w:styleId="14">
    <w:name w:val="Hyperlink"/>
    <w:basedOn w:val="11"/>
    <w:semiHidden/>
    <w:unhideWhenUsed/>
    <w:qFormat/>
    <w:uiPriority w:val="99"/>
    <w:rPr>
      <w:color w:val="0000FF"/>
      <w:u w:val="single"/>
    </w:rPr>
  </w:style>
  <w:style w:type="paragraph" w:styleId="15">
    <w:name w:val="Subtitle"/>
    <w:basedOn w:val="1"/>
    <w:link w:val="37"/>
    <w:qFormat/>
    <w:uiPriority w:val="11"/>
    <w:pPr>
      <w:spacing w:after="160"/>
    </w:pPr>
    <w:rPr>
      <w:rFonts w:eastAsiaTheme="minorEastAsia"/>
      <w:color w:val="595959" w:themeColor="text1" w:themeTint="A6"/>
      <w:spacing w:val="15"/>
      <w14:textFill>
        <w14:solidFill>
          <w14:schemeClr w14:val="tx1">
            <w14:lumMod w14:val="65000"/>
            <w14:lumOff w14:val="35000"/>
          </w14:schemeClr>
        </w14:solidFill>
      </w14:textFill>
    </w:rPr>
  </w:style>
  <w:style w:type="table" w:styleId="16">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oc 1"/>
    <w:basedOn w:val="1"/>
    <w:qFormat/>
    <w:uiPriority w:val="0"/>
    <w:pPr>
      <w:tabs>
        <w:tab w:val="left" w:pos="708"/>
        <w:tab w:val="right" w:leader="dot" w:pos="9070"/>
      </w:tabs>
      <w:spacing w:after="120"/>
    </w:pPr>
  </w:style>
  <w:style w:type="paragraph" w:styleId="18">
    <w:name w:val="toc 2"/>
    <w:basedOn w:val="1"/>
    <w:qFormat/>
    <w:uiPriority w:val="0"/>
    <w:pPr>
      <w:tabs>
        <w:tab w:val="left" w:pos="708"/>
        <w:tab w:val="right" w:pos="9070"/>
      </w:tabs>
      <w:spacing w:after="120"/>
    </w:pPr>
  </w:style>
  <w:style w:type="paragraph" w:styleId="19">
    <w:name w:val="toc 3"/>
    <w:basedOn w:val="1"/>
    <w:qFormat/>
    <w:uiPriority w:val="0"/>
    <w:pPr>
      <w:spacing w:after="120"/>
    </w:pPr>
  </w:style>
  <w:style w:type="paragraph" w:styleId="20">
    <w:name w:val="toc 4"/>
    <w:basedOn w:val="1"/>
    <w:qFormat/>
    <w:uiPriority w:val="0"/>
    <w:pPr>
      <w:spacing w:after="120"/>
    </w:pPr>
  </w:style>
  <w:style w:type="paragraph" w:styleId="21">
    <w:name w:val="toc 5"/>
    <w:basedOn w:val="1"/>
    <w:qFormat/>
    <w:uiPriority w:val="0"/>
    <w:pPr>
      <w:spacing w:after="120"/>
    </w:pPr>
  </w:style>
  <w:style w:type="paragraph" w:styleId="22">
    <w:name w:val="toc 6"/>
    <w:basedOn w:val="1"/>
    <w:qFormat/>
    <w:uiPriority w:val="0"/>
    <w:pPr>
      <w:spacing w:after="120"/>
    </w:pPr>
  </w:style>
  <w:style w:type="paragraph" w:styleId="23">
    <w:name w:val="toc 7"/>
    <w:basedOn w:val="1"/>
    <w:qFormat/>
    <w:uiPriority w:val="0"/>
    <w:pPr>
      <w:spacing w:after="120"/>
    </w:pPr>
  </w:style>
  <w:style w:type="paragraph" w:styleId="24">
    <w:name w:val="toc 8"/>
    <w:basedOn w:val="1"/>
    <w:qFormat/>
    <w:uiPriority w:val="0"/>
    <w:pPr>
      <w:spacing w:after="120"/>
    </w:pPr>
  </w:style>
  <w:style w:type="paragraph" w:styleId="25">
    <w:name w:val="toc 9"/>
    <w:basedOn w:val="1"/>
    <w:qFormat/>
    <w:uiPriority w:val="0"/>
    <w:pPr>
      <w:spacing w:after="120"/>
    </w:pPr>
  </w:style>
  <w:style w:type="paragraph" w:customStyle="1" w:styleId="26">
    <w:name w:val="Bulletlist"/>
    <w:basedOn w:val="1"/>
    <w:qFormat/>
    <w:uiPriority w:val="0"/>
    <w:pPr>
      <w:numPr>
        <w:ilvl w:val="0"/>
        <w:numId w:val="2"/>
      </w:numPr>
      <w:spacing w:after="160"/>
      <w:ind w:left="708" w:right="1700" w:hanging="708"/>
      <w:jc w:val="both"/>
    </w:pPr>
  </w:style>
  <w:style w:type="paragraph" w:customStyle="1" w:styleId="27">
    <w:name w:val="CoverPagePlainText"/>
    <w:basedOn w:val="1"/>
    <w:qFormat/>
    <w:uiPriority w:val="0"/>
    <w:pPr>
      <w:tabs>
        <w:tab w:val="left" w:pos="708"/>
        <w:tab w:val="right" w:leader="dot" w:pos="9070"/>
      </w:tabs>
      <w:spacing w:after="160" w:line="259" w:lineRule="auto"/>
      <w:ind w:right="1700"/>
      <w:jc w:val="both"/>
    </w:pPr>
  </w:style>
  <w:style w:type="paragraph" w:customStyle="1" w:styleId="28">
    <w:name w:val="Included_NotIncluded"/>
    <w:basedOn w:val="1"/>
    <w:qFormat/>
    <w:uiPriority w:val="0"/>
    <w:pPr>
      <w:keepNext/>
    </w:pPr>
    <w:rPr>
      <w:sz w:val="14"/>
    </w:rPr>
  </w:style>
  <w:style w:type="paragraph" w:customStyle="1" w:styleId="29">
    <w:name w:val="Listing"/>
    <w:basedOn w:val="1"/>
    <w:qFormat/>
    <w:uiPriority w:val="0"/>
  </w:style>
  <w:style w:type="paragraph" w:customStyle="1" w:styleId="30">
    <w:name w:val="Listparagraph"/>
    <w:basedOn w:val="1"/>
    <w:qFormat/>
    <w:uiPriority w:val="0"/>
  </w:style>
  <w:style w:type="paragraph" w:customStyle="1" w:styleId="31">
    <w:name w:val="S! Text"/>
    <w:basedOn w:val="1"/>
    <w:qFormat/>
    <w:uiPriority w:val="0"/>
    <w:pPr>
      <w:ind w:left="708" w:right="1700"/>
    </w:pPr>
  </w:style>
  <w:style w:type="paragraph" w:customStyle="1" w:styleId="32">
    <w:name w:val="SMART Text"/>
    <w:basedOn w:val="1"/>
    <w:qFormat/>
    <w:uiPriority w:val="0"/>
    <w:pPr>
      <w:ind w:left="708" w:right="1700"/>
    </w:pPr>
  </w:style>
  <w:style w:type="paragraph" w:customStyle="1" w:styleId="33">
    <w:name w:val="Standard_BlueWhiteFCM"/>
    <w:basedOn w:val="1"/>
    <w:qFormat/>
    <w:uiPriority w:val="0"/>
    <w:pPr>
      <w:shd w:val="solid" w:color="1E326E" w:fill="auto"/>
    </w:pPr>
    <w:rPr>
      <w:b/>
      <w:color w:val="FFFFFF"/>
      <w:sz w:val="14"/>
    </w:rPr>
  </w:style>
  <w:style w:type="paragraph" w:customStyle="1" w:styleId="34">
    <w:name w:val="TEXT_WV_KV"/>
    <w:basedOn w:val="1"/>
    <w:qFormat/>
    <w:uiPriority w:val="0"/>
    <w:pPr>
      <w:numPr>
        <w:ilvl w:val="1"/>
        <w:numId w:val="1"/>
      </w:numPr>
      <w:spacing w:after="160"/>
      <w:ind w:left="708" w:right="1700" w:hanging="708"/>
      <w:jc w:val="both"/>
    </w:pPr>
  </w:style>
  <w:style w:type="paragraph" w:customStyle="1" w:styleId="35">
    <w:name w:val="TOC Heading"/>
    <w:basedOn w:val="1"/>
    <w:qFormat/>
    <w:uiPriority w:val="0"/>
    <w:pPr>
      <w:keepNext/>
      <w:tabs>
        <w:tab w:val="left" w:pos="708"/>
        <w:tab w:val="right" w:leader="dot" w:pos="9070"/>
      </w:tabs>
      <w:spacing w:after="120"/>
    </w:pPr>
  </w:style>
  <w:style w:type="table" w:customStyle="1" w:styleId="36">
    <w:name w:val="camos Table"/>
    <w:qFormat/>
    <w:uiPriority w:val="0"/>
    <w:tblPr>
      <w:tblCellMar>
        <w:top w:w="0" w:type="dxa"/>
        <w:left w:w="0" w:type="dxa"/>
        <w:bottom w:w="0" w:type="dxa"/>
        <w:right w:w="0" w:type="dxa"/>
      </w:tblCellMar>
    </w:tblPr>
  </w:style>
  <w:style w:type="character" w:customStyle="1" w:styleId="37">
    <w:name w:val="Subtitle Char"/>
    <w:basedOn w:val="11"/>
    <w:link w:val="15"/>
    <w:uiPriority w:val="11"/>
    <w:rPr>
      <w:rFonts w:eastAsiaTheme="minorEastAsia"/>
      <w:color w:val="595959" w:themeColor="text1" w:themeTint="A6"/>
      <w:spacing w:val="15"/>
      <w14:textFill>
        <w14:solidFill>
          <w14:schemeClr w14:val="tx1">
            <w14:lumMod w14:val="65000"/>
            <w14:lumOff w14:val="3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349C9-5853-4F8F-B02A-2C4BF72187B3}">
  <ds:schemaRefs/>
</ds:datastoreItem>
</file>

<file path=customXml/itemProps2.xml><?xml version="1.0" encoding="utf-8"?>
<ds:datastoreItem xmlns:ds="http://schemas.openxmlformats.org/officeDocument/2006/customXml" ds:itemID="{B70A2B57-F74B-4133-81FD-888DE1C15937}">
  <ds:schemaRefs/>
</ds:datastoreItem>
</file>

<file path=docProps/app.xml><?xml version="1.0" encoding="utf-8"?>
<Properties xmlns="http://schemas.openxmlformats.org/officeDocument/2006/extended-properties" xmlns:vt="http://schemas.openxmlformats.org/officeDocument/2006/docPropsVTypes">
  <Template>Normal</Template>
  <Company>NKT Group</Company>
  <Pages>6</Pages>
  <Words>1586</Words>
  <Characters>9044</Characters>
  <Lines>75</Lines>
  <Paragraphs>21</Paragraphs>
  <TotalTime>7</TotalTime>
  <ScaleCrop>false</ScaleCrop>
  <LinksUpToDate>false</LinksUpToDate>
  <CharactersWithSpaces>10609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2026-02-09T07:59:00Z</dcterms:created>
  <dc:creator>Garabet Topalian</dc:creator>
  <cp:lastModifiedBy>Nidhishkanna.R</cp:lastModifiedBy>
  <dcterms:modified xsi:type="dcterms:W3CDTF">2026-02-12T10:32:29Z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7A11F9DC936246A2B05316C472003D60_12</vt:lpwstr>
  </property>
</Properties>
</file>