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header+xml" PartName="/word/header2.xml"/>
  <Override ContentType="application/vnd.openxmlformats-officedocument.wordprocessingml.footer+xml" PartName="/word/footer1.xml"/>
  <Override ContentType="application/vnd.openxmlformats-officedocument.wordprocessingml.footer+xml" PartName="/word/footer2.xml"/>
  <Override ContentType="application/vnd.openxmlformats-officedocument.wordprocessingml.header+xml" PartName="/word/header3.xml"/>
  <Override ContentType="application/vnd.openxmlformats-officedocument.wordprocessingml.footer+xml" PartName="/word/footer3.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3600"/>
      </w:pPr>
    </w:p>
    <w:p>
      <w:pPr>
        <w:jc w:val="center"/>
      </w:pPr>
      <w:r>
        <w:drawing>
          <wp:inline distT="0" distB="0" distL="0" distR="0">
            <wp:extent cx="1714500" cy="6286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13" cstate="none"/>
                    <a:srcRect/>
                    <a:stretch>
                      <a:fillRect/>
                    </a:stretch>
                  </pic:blipFill>
                  <pic:spPr bwMode="auto">
                    <a:xfrm>
                      <a:off x="0" y="0"/>
                      <a:ext cx="1714500" cy="628650"/>
                    </a:xfrm>
                    <a:prstGeom prst="rect">
                      <a:avLst/>
                    </a:prstGeom>
                  </pic:spPr>
                </pic:pic>
              </a:graphicData>
            </a:graphic>
          </wp:inline>
        </w:drawing>
      </w:r>
    </w:p>
    <w:p>
      <w:pPr>
        <w:spacing w:after="0" w:before="400"/>
      </w:pPr>
    </w:p>
    <w:p>
      <w:pPr>
        <w:spacing w:after="100" w:before="200"/>
        <w:jc w:val="center"/>
      </w:pPr>
      <w:r>
        <w:rPr>
          <w:rFonts w:ascii="Afacad" w:cs="Afacad" w:eastAsia="Afacad" w:hAnsi="Afacad"/>
          <w:b/>
          <w:bCs/>
          <w:i w:val="false"/>
          <w:iCs w:val="false"/>
          <w:color w:val="E45925"/>
          <w:sz w:val="56"/>
          <w:szCs w:val="56"/>
        </w:rPr>
        <w:t xml:space="preserve">Especificación Técnica de Skill</w:t>
      </w:r>
    </w:p>
    <w:p>
      <w:pPr>
        <w:spacing w:after="80" w:before="100"/>
        <w:jc w:val="center"/>
      </w:pPr>
      <w:r>
        <w:rPr>
          <w:rFonts w:ascii="Afacad" w:cs="Afacad" w:eastAsia="Afacad" w:hAnsi="Afacad"/>
          <w:b w:val="false"/>
          <w:bCs w:val="false"/>
          <w:i w:val="false"/>
          <w:iCs w:val="false"/>
          <w:color w:val="3D1A0A"/>
          <w:sz w:val="36"/>
          <w:szCs w:val="36"/>
        </w:rPr>
        <w:t xml:space="preserve">TopSpin Deals Project Sizing</w:t>
      </w:r>
    </w:p>
    <w:p>
      <w:pPr>
        <w:spacing w:after="0" w:before="60"/>
        <w:jc w:val="center"/>
      </w:pPr>
      <w:r>
        <w:rPr>
          <w:rFonts w:ascii="Afacad" w:cs="Afacad" w:eastAsia="Afacad" w:hAnsi="Afacad"/>
          <w:b w:val="false"/>
          <w:bCs w:val="false"/>
          <w:i/>
          <w:iCs/>
          <w:color w:val="9C3A18"/>
          <w:sz w:val="24"/>
          <w:szCs w:val="24"/>
        </w:rPr>
        <w:t xml:space="preserve">(LGaaS — Lead Generation as a Service)</w:t>
      </w:r>
    </w:p>
    <w:p>
      <w:pPr>
        <w:pBdr>
          <w:bottom w:val="single" w:color="F9EBD0" w:sz="2" w:space="8"/>
        </w:pBdr>
        <w:spacing w:after="400" w:before="400"/>
        <w:jc w:val="center"/>
      </w:pPr>
    </w:p>
    <w:p>
      <w:pPr>
        <w:spacing w:after="40" w:before="100"/>
        <w:jc w:val="center"/>
      </w:pPr>
      <w:r>
        <w:rPr>
          <w:rFonts w:ascii="Afacad" w:cs="Afacad" w:eastAsia="Afacad" w:hAnsi="Afacad"/>
          <w:b w:val="false"/>
          <w:bCs w:val="false"/>
          <w:i w:val="false"/>
          <w:iCs w:val="false"/>
          <w:color w:val="9C3A18"/>
          <w:sz w:val="22"/>
          <w:szCs w:val="22"/>
        </w:rPr>
        <w:t xml:space="preserve">Documento para: AI Developer</w:t>
      </w:r>
    </w:p>
    <w:p>
      <w:pPr>
        <w:spacing w:after="40" w:before="40"/>
        <w:jc w:val="center"/>
      </w:pPr>
      <w:r>
        <w:rPr>
          <w:rFonts w:ascii="Afacad" w:cs="Afacad" w:eastAsia="Afacad" w:hAnsi="Afacad"/>
          <w:b w:val="false"/>
          <w:bCs w:val="false"/>
          <w:i w:val="false"/>
          <w:iCs w:val="false"/>
          <w:color w:val="9C3A18"/>
          <w:sz w:val="22"/>
          <w:szCs w:val="22"/>
        </w:rPr>
        <w:t xml:space="preserve">Preparado por: Equipo de Negocio TopSpin</w:t>
      </w:r>
    </w:p>
    <w:p>
      <w:pPr>
        <w:spacing w:after="40" w:before="40"/>
        <w:jc w:val="center"/>
      </w:pPr>
      <w:r>
        <w:rPr>
          <w:rFonts w:ascii="Afacad" w:cs="Afacad" w:eastAsia="Afacad" w:hAnsi="Afacad"/>
          <w:b w:val="false"/>
          <w:bCs w:val="false"/>
          <w:i w:val="false"/>
          <w:iCs w:val="false"/>
          <w:color w:val="9C3A18"/>
          <w:sz w:val="22"/>
          <w:szCs w:val="22"/>
        </w:rPr>
        <w:t xml:space="preserve">Fecha: Marzo 2026</w:t>
      </w:r>
    </w:p>
    <w:p>
      <w:pPr>
        <w:spacing w:after="0" w:before="40"/>
        <w:jc w:val="center"/>
      </w:pPr>
      <w:r>
        <w:rPr>
          <w:rFonts w:ascii="Afacad" w:cs="Afacad" w:eastAsia="Afacad" w:hAnsi="Afacad"/>
          <w:b w:val="false"/>
          <w:bCs w:val="false"/>
          <w:i w:val="false"/>
          <w:iCs w:val="false"/>
          <w:color w:val="9C3A18"/>
          <w:sz w:val="22"/>
          <w:szCs w:val="22"/>
        </w:rPr>
        <w:t xml:space="preserve">Versión: 1.0</w:t>
      </w:r>
    </w:p>
    <w:p>
      <w:pPr>
        <w:sectPr>
          <w:headerReference w:type="default" r:id="rId7"/>
          <w:headerReference w:type="first" r:id="rId8"/>
          <w:footerReference w:type="default" r:id="rId9"/>
          <w:footerReference w:type="first" r:id="rId10"/>
          <w:pgSz w:w="12240" w:h="15840" w:orient="portrait"/>
          <w:pgMar w:top="1440" w:right="1200" w:bottom="1440" w:left="1200" w:header="425" w:footer="425" w:gutter="0"/>
          <w:pgNumType/>
          <w:titlePg/>
          <w:docGrid w:linePitch="360"/>
        </w:sectPr>
      </w:pPr>
    </w:p>
    <w:p>
      <w:pPr>
        <w:pStyle w:val="Heading1"/>
      </w:pPr>
      <w:r>
        <w:rPr>
          <w:rFonts w:ascii="Afacad" w:cs="Afacad" w:eastAsia="Afacad" w:hAnsi="Afacad"/>
          <w:b/>
          <w:bCs/>
          <w:i w:val="false"/>
          <w:iCs w:val="false"/>
          <w:color w:val="E45925"/>
          <w:sz w:val="48"/>
          <w:szCs w:val="48"/>
        </w:rPr>
        <w:t xml:space="preserve">1. Resumen ejecutivo</w:t>
      </w:r>
    </w:p>
    <w:p>
      <w:pPr>
        <w:spacing w:after="120" w:before="0"/>
        <w:jc w:val="both"/>
      </w:pPr>
      <w:r>
        <w:rPr>
          <w:rFonts w:ascii="Afacad" w:cs="Afacad" w:eastAsia="Afacad" w:hAnsi="Afacad"/>
          <w:b w:val="false"/>
          <w:bCs w:val="false"/>
          <w:i w:val="false"/>
          <w:iCs w:val="false"/>
          <w:color w:val="3D1A0A"/>
          <w:sz w:val="22"/>
          <w:szCs w:val="22"/>
        </w:rPr>
        <w:t xml:space="preserve">Este documento describe la especificación completa del skill </w:t>
      </w:r>
      <w:r>
        <w:rPr>
          <w:rFonts w:ascii="Afacad" w:cs="Afacad" w:eastAsia="Afacad" w:hAnsi="Afacad"/>
          <w:b/>
          <w:bCs/>
          <w:i w:val="false"/>
          <w:iCs w:val="false"/>
          <w:color w:val="3D1A0A"/>
          <w:sz w:val="22"/>
          <w:szCs w:val="22"/>
        </w:rPr>
        <w:t xml:space="preserve">TopSpin Deals Project Sizing</w:t>
      </w:r>
      <w:r>
        <w:rPr>
          <w:rFonts w:ascii="Afacad" w:cs="Afacad" w:eastAsia="Afacad" w:hAnsi="Afacad"/>
          <w:b w:val="false"/>
          <w:bCs w:val="false"/>
          <w:i w:val="false"/>
          <w:iCs w:val="false"/>
          <w:color w:val="3D1A0A"/>
          <w:sz w:val="22"/>
          <w:szCs w:val="22"/>
        </w:rPr>
        <w:t xml:space="preserve">. Su propósito: a partir de las notas de una discovery call con un cliente potencial de LGaaS, generar automáticamente un análisis de viabilidad comercial que incluya estimación de TAM, propuesta de pricing, segmentos de targeting propuestos y un sample real de empresas y decision makers.</w:t>
      </w:r>
    </w:p>
    <w:p>
      <w:pPr>
        <w:spacing w:after="120" w:before="0"/>
        <w:jc w:val="both"/>
      </w:pPr>
      <w:r>
        <w:rPr>
          <w:rFonts w:ascii="Afacad" w:cs="Afacad" w:eastAsia="Afacad" w:hAnsi="Afacad"/>
          <w:b w:val="false"/>
          <w:bCs w:val="false"/>
          <w:i w:val="false"/>
          <w:iCs w:val="false"/>
          <w:color w:val="3D1A0A"/>
          <w:sz w:val="22"/>
          <w:szCs w:val="22"/>
        </w:rPr>
        <w:t xml:space="preserve">El skill se sitúa </w:t>
      </w:r>
      <w:r>
        <w:rPr>
          <w:rFonts w:ascii="Afacad" w:cs="Afacad" w:eastAsia="Afacad" w:hAnsi="Afacad"/>
          <w:b/>
          <w:bCs/>
          <w:i w:val="false"/>
          <w:iCs w:val="false"/>
          <w:color w:val="3D1A0A"/>
          <w:sz w:val="22"/>
          <w:szCs w:val="22"/>
        </w:rPr>
        <w:t xml:space="preserve">antes</w:t>
      </w:r>
      <w:r>
        <w:rPr>
          <w:rFonts w:ascii="Afacad" w:cs="Afacad" w:eastAsia="Afacad" w:hAnsi="Afacad"/>
          <w:b w:val="false"/>
          <w:bCs w:val="false"/>
          <w:i w:val="false"/>
          <w:iCs w:val="false"/>
          <w:color w:val="3D1A0A"/>
          <w:sz w:val="22"/>
          <w:szCs w:val="22"/>
        </w:rPr>
        <w:t xml:space="preserve"> del pipeline LGaaS existente. Es la herramienta que el consultor usa para dimensionar el proyecto, preparar una propuesta de precio al cliente, y validar internamente si tiene sentido arrancar la generación de leads. Si el deal se cierra, las notas y outputs de este skill alimentan directamente el </w:t>
      </w:r>
      <w:r>
        <w:rPr>
          <w:rFonts w:ascii="Afacad" w:cs="Afacad" w:eastAsia="Afacad" w:hAnsi="Afacad"/>
          <w:b w:val="false"/>
          <w:bCs w:val="false"/>
          <w:i/>
          <w:iCs/>
          <w:color w:val="3D1A0A"/>
          <w:sz w:val="22"/>
          <w:szCs w:val="22"/>
        </w:rPr>
        <w:t xml:space="preserve">lgaas-discovery</w:t>
      </w:r>
      <w:r>
        <w:rPr>
          <w:rFonts w:ascii="Afacad" w:cs="Afacad" w:eastAsia="Afacad" w:hAnsi="Afacad"/>
          <w:b w:val="false"/>
          <w:bCs w:val="false"/>
          <w:i w:val="false"/>
          <w:iCs w:val="false"/>
          <w:color w:val="3D1A0A"/>
          <w:sz w:val="22"/>
          <w:szCs w:val="22"/>
        </w:rPr>
        <w:t xml:space="preserve"> y después el </w:t>
      </w:r>
      <w:r>
        <w:rPr>
          <w:rFonts w:ascii="Afacad" w:cs="Afacad" w:eastAsia="Afacad" w:hAnsi="Afacad"/>
          <w:b w:val="false"/>
          <w:bCs w:val="false"/>
          <w:i/>
          <w:iCs/>
          <w:color w:val="3D1A0A"/>
          <w:sz w:val="22"/>
          <w:szCs w:val="22"/>
        </w:rPr>
        <w:t xml:space="preserve">lgaas-database-generator</w:t>
      </w:r>
      <w:r>
        <w:rPr>
          <w:rFonts w:ascii="Afacad" w:cs="Afacad" w:eastAsia="Afacad" w:hAnsi="Afacad"/>
          <w:b w:val="false"/>
          <w:bCs w:val="false"/>
          <w:i w:val="false"/>
          <w:iCs w:val="false"/>
          <w:color w:val="3D1A0A"/>
          <w:sz w:val="22"/>
          <w:szCs w:val="22"/>
        </w:rPr>
        <w:t xml:space="preserve">.</w:t>
      </w:r>
    </w:p>
    <w:p>
      <w:pPr>
        <w:pStyle w:val="Heading2"/>
      </w:pPr>
      <w:r>
        <w:rPr>
          <w:rFonts w:ascii="Afacad" w:cs="Afacad" w:eastAsia="Afacad" w:hAnsi="Afacad"/>
          <w:b/>
          <w:bCs/>
          <w:i w:val="false"/>
          <w:iCs w:val="false"/>
          <w:color w:val="E45925"/>
          <w:sz w:val="32"/>
          <w:szCs w:val="32"/>
        </w:rPr>
        <w:t xml:space="preserve">Ficha del skill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Nombre</w:t>
            </w:r>
          </w:p>
        </w:tc>
        <w:tc>
          <w:tcPr>
            <w:tcW w:type="dxa" w:w="70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topspin-deals-project-sizing</w:t>
            </w:r>
          </w:p>
        </w:tc>
      </w:tr>
      <w:tr>
        <w:tc>
          <w:tcPr>
            <w:tcW w:type="dxa" w:w="280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Alcance</w:t>
            </w:r>
          </w:p>
        </w:tc>
        <w:tc>
          <w:tcPr>
            <w:tcW w:type="dxa" w:w="70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Solo proyectos LGaaS (Lead Generation as a Service)</w:t>
            </w:r>
          </w:p>
        </w:tc>
      </w:tr>
      <w:tr>
        <w:tc>
          <w:tcPr>
            <w:tcW w:type="dxa" w:w="280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Input</w:t>
            </w:r>
          </w:p>
        </w:tc>
        <w:tc>
          <w:tcPr>
            <w:tcW w:type="dxa" w:w="70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Notas de la discovery call (texto libre, pasted o archivo)</w:t>
            </w:r>
          </w:p>
        </w:tc>
      </w:tr>
      <w:tr>
        <w:tc>
          <w:tcPr>
            <w:tcW w:type="dxa" w:w="280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Output</w:t>
            </w:r>
          </w:p>
        </w:tc>
        <w:tc>
          <w:tcPr>
            <w:tcW w:type="dxa" w:w="70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Documento con 4 secciones: (i) Estimación de TAM, (ii) Propuesta de pricing por Qualified Meeting, (iii) Segmentos de targeting con señales, (iv) Sample de 10 empresas + 10 DMs</w:t>
            </w:r>
          </w:p>
        </w:tc>
      </w:tr>
      <w:tr>
        <w:tc>
          <w:tcPr>
            <w:tcW w:type="dxa" w:w="280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Posición en pipeline</w:t>
            </w:r>
          </w:p>
        </w:tc>
        <w:tc>
          <w:tcPr>
            <w:tcW w:type="dxa" w:w="70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bCs/>
                <w:i w:val="false"/>
                <w:iCs w:val="false"/>
                <w:color w:val="3D1A0A"/>
                <w:sz w:val="20"/>
                <w:szCs w:val="20"/>
              </w:rPr>
              <w:t xml:space="preserve">Pre-LGaaS: </w:t>
            </w:r>
            <w:r>
              <w:rPr>
                <w:rFonts w:ascii="Afacad" w:cs="Afacad" w:eastAsia="Afacad" w:hAnsi="Afacad"/>
                <w:b w:val="false"/>
                <w:bCs w:val="false"/>
                <w:i w:val="false"/>
                <w:iCs w:val="false"/>
                <w:color w:val="3D1A0A"/>
                <w:sz w:val="20"/>
                <w:szCs w:val="20"/>
              </w:rPr>
              <w:t xml:space="preserve">Deals Project Sizing → lgaas-discovery → lgaas-database-generator</w:t>
            </w:r>
          </w:p>
        </w:tc>
      </w:tr>
      <w:tr>
        <w:tc>
          <w:tcPr>
            <w:tcW w:type="dxa" w:w="280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Usuario</w:t>
            </w:r>
          </w:p>
        </w:tc>
        <w:tc>
          <w:tcPr>
            <w:tcW w:type="dxa" w:w="70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Consultor TopSpin (perfil de negocio, no técnico)</w:t>
            </w:r>
          </w:p>
        </w:tc>
      </w:tr>
      <w:tr>
        <w:tc>
          <w:tcPr>
            <w:tcW w:type="dxa" w:w="280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Triggers sugeridos</w:t>
            </w:r>
          </w:p>
        </w:tc>
        <w:tc>
          <w:tcPr>
            <w:tcW w:type="dxa" w:w="70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iCs/>
                <w:color w:val="3D1A0A"/>
                <w:sz w:val="20"/>
                <w:szCs w:val="20"/>
              </w:rPr>
              <w:t xml:space="preserve">"dimensionar proyecto", "sizing de deal", "cuánto cobraríamos", "analiza estas notas de discovery", "prepara propuesta de LGaaS", "pricing para [cliente]", "es viable este proyecto"</w:t>
            </w:r>
          </w:p>
        </w:tc>
      </w:tr>
    </w:tbl>
    <w:p>
      <w:pPr>
        <w:pStyle w:val="Heading1"/>
        <w:spacing w:after="200" w:before="400"/>
      </w:pPr>
      <w:r>
        <w:rPr>
          <w:rFonts w:ascii="Afacad" w:cs="Afacad" w:eastAsia="Afacad" w:hAnsi="Afacad"/>
          <w:b/>
          <w:bCs/>
          <w:i w:val="false"/>
          <w:iCs w:val="false"/>
          <w:color w:val="E45925"/>
          <w:sz w:val="48"/>
          <w:szCs w:val="48"/>
        </w:rPr>
        <w:t xml:space="preserve">2. Input: notas de la discovery call</w:t>
      </w:r>
    </w:p>
    <w:p>
      <w:pPr>
        <w:spacing w:after="120" w:before="0"/>
        <w:jc w:val="both"/>
      </w:pPr>
      <w:r>
        <w:rPr>
          <w:rFonts w:ascii="Afacad" w:cs="Afacad" w:eastAsia="Afacad" w:hAnsi="Afacad"/>
          <w:b w:val="false"/>
          <w:bCs w:val="false"/>
          <w:i w:val="false"/>
          <w:iCs w:val="false"/>
          <w:color w:val="3D1A0A"/>
          <w:sz w:val="22"/>
          <w:szCs w:val="22"/>
        </w:rPr>
        <w:t xml:space="preserve">El skill recibe las notas que el consultor ha tomado durante (o después de) la discovery call con el cliente potencial. No hay formato obligatorio: puede ser texto pegado directamente en el chat, un archivo .txt, .md, o .docx. El skill debe ser capaz de extraer información de cualquiera de estos formatos.</w:t>
      </w:r>
    </w:p>
    <w:p>
      <w:pPr>
        <w:pStyle w:val="Heading2"/>
      </w:pPr>
      <w:r>
        <w:rPr>
          <w:rFonts w:ascii="Afacad" w:cs="Afacad" w:eastAsia="Afacad" w:hAnsi="Afacad"/>
          <w:b/>
          <w:bCs/>
          <w:i w:val="false"/>
          <w:iCs w:val="false"/>
          <w:color w:val="E45925"/>
          <w:sz w:val="32"/>
          <w:szCs w:val="32"/>
        </w:rPr>
        <w:t xml:space="preserve">Información que el skill debe buscar en las notas</w:t>
      </w:r>
    </w:p>
    <w:p>
      <w:pPr>
        <w:spacing w:after="80" w:before="0"/>
        <w:jc w:val="both"/>
      </w:pPr>
      <w:r>
        <w:rPr>
          <w:rFonts w:ascii="Afacad" w:cs="Afacad" w:eastAsia="Afacad" w:hAnsi="Afacad"/>
          <w:b w:val="false"/>
          <w:bCs w:val="false"/>
          <w:i w:val="false"/>
          <w:iCs w:val="false"/>
          <w:color w:val="3D1A0A"/>
          <w:sz w:val="22"/>
          <w:szCs w:val="22"/>
        </w:rPr>
        <w:t xml:space="preserve">El skill debe parsear las notas e intentar extraer los siguientes datos. Si alguno falta, el skill debe hacer preguntas al consultor antes de continuar (máximo una ronda de preguntas, todo junto).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600"/>
        <w:gridCol w:w="3600"/>
        <w:gridCol w:w="3640"/>
      </w:tblGrid>
      <w:tr>
        <w:tc>
          <w:tcPr>
            <w:tcW w:type="dxa" w:w="260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Dato</w:t>
            </w:r>
          </w:p>
        </w:tc>
        <w:tc>
          <w:tcPr>
            <w:tcW w:type="dxa" w:w="360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Descripción</w:t>
            </w:r>
          </w:p>
        </w:tc>
        <w:tc>
          <w:tcPr>
            <w:tcW w:type="dxa" w:w="364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Obligatorio / Opcional</w:t>
            </w:r>
          </w:p>
        </w:tc>
      </w:tr>
      <w:tr>
        <w:tc>
          <w:tcPr>
            <w:tcW w:type="dxa" w:w="2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Nombre del cliente</w:t>
            </w:r>
          </w:p>
        </w:tc>
        <w:tc>
          <w:tcPr>
            <w:tcW w:type="dxa" w:w="3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Empresa que quiere contratar LGaaS</w:t>
            </w:r>
          </w:p>
        </w:tc>
        <w:tc>
          <w:tcPr>
            <w:tcW w:type="dxa" w:w="36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Obligatorio</w:t>
            </w:r>
          </w:p>
        </w:tc>
      </w:tr>
      <w:tr>
        <w:tc>
          <w:tcPr>
            <w:tcW w:type="dxa" w:w="2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URL de la web</w:t>
            </w:r>
          </w:p>
        </w:tc>
        <w:tc>
          <w:tcPr>
            <w:tcW w:type="dxa" w:w="3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Para research automático complementario</w:t>
            </w:r>
          </w:p>
        </w:tc>
        <w:tc>
          <w:tcPr>
            <w:tcW w:type="dxa" w:w="36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Obligatorio</w:t>
            </w:r>
          </w:p>
        </w:tc>
      </w:tr>
      <w:tr>
        <w:tc>
          <w:tcPr>
            <w:tcW w:type="dxa" w:w="2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Qué venden</w:t>
            </w:r>
          </w:p>
        </w:tc>
        <w:tc>
          <w:tcPr>
            <w:tcW w:type="dxa" w:w="3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Producto o servicio principal. Propuesta de valor.</w:t>
            </w:r>
          </w:p>
        </w:tc>
        <w:tc>
          <w:tcPr>
            <w:tcW w:type="dxa" w:w="36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Obligatorio</w:t>
            </w:r>
          </w:p>
        </w:tc>
      </w:tr>
      <w:tr>
        <w:tc>
          <w:tcPr>
            <w:tcW w:type="dxa" w:w="2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A quién venden (ICP)</w:t>
            </w:r>
          </w:p>
        </w:tc>
        <w:tc>
          <w:tcPr>
            <w:tcW w:type="dxa" w:w="3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Tipo de empresa target: sector, tamaño, geografía, perfiles de DM.</w:t>
            </w:r>
          </w:p>
        </w:tc>
        <w:tc>
          <w:tcPr>
            <w:tcW w:type="dxa" w:w="36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Obligatorio</w:t>
            </w:r>
          </w:p>
        </w:tc>
      </w:tr>
      <w:tr>
        <w:tc>
          <w:tcPr>
            <w:tcW w:type="dxa" w:w="2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AOV (Average Order Value)</w:t>
            </w:r>
          </w:p>
        </w:tc>
        <w:tc>
          <w:tcPr>
            <w:tcW w:type="dxa" w:w="3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Valor medio de un contrato cerrado. Crítico para el pricing.</w:t>
            </w:r>
          </w:p>
        </w:tc>
        <w:tc>
          <w:tcPr>
            <w:tcW w:type="dxa" w:w="36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Obligatorio</w:t>
            </w:r>
          </w:p>
        </w:tc>
      </w:tr>
      <w:tr>
        <w:tc>
          <w:tcPr>
            <w:tcW w:type="dxa" w:w="2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Ciclo de venta</w:t>
            </w:r>
          </w:p>
        </w:tc>
        <w:tc>
          <w:tcPr>
            <w:tcW w:type="dxa" w:w="3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Duración media del proceso comercial (días/meses).</w:t>
            </w:r>
          </w:p>
        </w:tc>
        <w:tc>
          <w:tcPr>
            <w:tcW w:type="dxa" w:w="36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Opcional (estimable)</w:t>
            </w:r>
          </w:p>
        </w:tc>
      </w:tr>
      <w:tr>
        <w:tc>
          <w:tcPr>
            <w:tcW w:type="dxa" w:w="2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Mercado geográfico</w:t>
            </w:r>
          </w:p>
        </w:tc>
        <w:tc>
          <w:tcPr>
            <w:tcW w:type="dxa" w:w="3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Países o regiones target.</w:t>
            </w:r>
          </w:p>
        </w:tc>
        <w:tc>
          <w:tcPr>
            <w:tcW w:type="dxa" w:w="36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Obligatorio</w:t>
            </w:r>
          </w:p>
        </w:tc>
      </w:tr>
      <w:tr>
        <w:tc>
          <w:tcPr>
            <w:tcW w:type="dxa" w:w="2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Clientes actuales</w:t>
            </w:r>
          </w:p>
        </w:tc>
        <w:tc>
          <w:tcPr>
            <w:tcW w:type="dxa" w:w="3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Ejemplos de empresas que ya les compran (para validar ICP).</w:t>
            </w:r>
          </w:p>
        </w:tc>
        <w:tc>
          <w:tcPr>
            <w:tcW w:type="dxa" w:w="36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Opcional (muy útil)</w:t>
            </w:r>
          </w:p>
        </w:tc>
      </w:tr>
      <w:tr>
        <w:tc>
          <w:tcPr>
            <w:tcW w:type="dxa" w:w="2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Competidores</w:t>
            </w:r>
          </w:p>
        </w:tc>
        <w:tc>
          <w:tcPr>
            <w:tcW w:type="dxa" w:w="3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Competencia directa del cliente.</w:t>
            </w:r>
          </w:p>
        </w:tc>
        <w:tc>
          <w:tcPr>
            <w:tcW w:type="dxa" w:w="36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Opcional</w:t>
            </w:r>
          </w:p>
        </w:tc>
      </w:tr>
      <w:tr>
        <w:tc>
          <w:tcPr>
            <w:tcW w:type="dxa" w:w="2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Pain points del target</w:t>
            </w:r>
          </w:p>
        </w:tc>
        <w:tc>
          <w:tcPr>
            <w:tcW w:type="dxa" w:w="3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Problemas que resuelve el producto del cliente.</w:t>
            </w:r>
          </w:p>
        </w:tc>
        <w:tc>
          <w:tcPr>
            <w:tcW w:type="dxa" w:w="36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Opcional</w:t>
            </w:r>
          </w:p>
        </w:tc>
      </w:tr>
    </w:tbl>
    <w:p>
      <w:pPr>
        <w:pStyle w:val="Heading1"/>
        <w:spacing w:after="200" w:before="400"/>
      </w:pPr>
      <w:r>
        <w:rPr>
          <w:rFonts w:ascii="Afacad" w:cs="Afacad" w:eastAsia="Afacad" w:hAnsi="Afacad"/>
          <w:b/>
          <w:bCs/>
          <w:i w:val="false"/>
          <w:iCs w:val="false"/>
          <w:color w:val="E45925"/>
          <w:sz w:val="48"/>
          <w:szCs w:val="48"/>
        </w:rPr>
        <w:t xml:space="preserve">3. Output detallado: las 4 secciones</w:t>
      </w:r>
    </w:p>
    <w:p>
      <w:pPr>
        <w:spacing w:after="120" w:before="0"/>
        <w:jc w:val="both"/>
      </w:pPr>
      <w:r>
        <w:rPr>
          <w:rFonts w:ascii="Afacad" w:cs="Afacad" w:eastAsia="Afacad" w:hAnsi="Afacad"/>
          <w:b w:val="false"/>
          <w:bCs w:val="false"/>
          <w:i w:val="false"/>
          <w:iCs w:val="false"/>
          <w:color w:val="3D1A0A"/>
          <w:sz w:val="22"/>
          <w:szCs w:val="22"/>
        </w:rPr>
        <w:t xml:space="preserve">El output es un documento único (formato .docx, con branding TopSpin) que contiene cuatro secciones claramente diferenciadas. A continuación se detalla qué debe contener cada una y cómo calcularlo.</w:t>
      </w:r>
    </w:p>
    <w:p>
      <w:pPr>
        <w:pStyle w:val="Heading2"/>
        <w:spacing w:after="160" w:before="280"/>
      </w:pPr>
      <w:r>
        <w:rPr>
          <w:rFonts w:ascii="Afacad" w:cs="Afacad" w:eastAsia="Afacad" w:hAnsi="Afacad"/>
          <w:b/>
          <w:bCs/>
          <w:i w:val="false"/>
          <w:iCs w:val="false"/>
          <w:color w:val="E45925"/>
          <w:sz w:val="32"/>
          <w:szCs w:val="32"/>
        </w:rPr>
        <w:t xml:space="preserve">3.1 Estimación de TAM (Total Addressable Market)</w:t>
      </w:r>
    </w:p>
    <w:p>
      <w:pPr>
        <w:spacing w:after="100" w:before="0"/>
        <w:jc w:val="both"/>
      </w:pPr>
      <w:r>
        <w:rPr>
          <w:rFonts w:ascii="Afacad" w:cs="Afacad" w:eastAsia="Afacad" w:hAnsi="Afacad"/>
          <w:b w:val="false"/>
          <w:bCs w:val="false"/>
          <w:i w:val="false"/>
          <w:iCs w:val="false"/>
          <w:color w:val="3D1A0A"/>
          <w:sz w:val="22"/>
          <w:szCs w:val="22"/>
        </w:rPr>
        <w:t xml:space="preserve">El objetivo es dar al consultor una cifra aproximada de cuántas empresas existen en el mercado del cliente que encajan con su ICP. No es un TAM financiero (no hablamos de euros), sino un TAM de contactabilidad: cuántas empresas podríamos trabajar en campañas de outbound.</w:t>
      </w:r>
    </w:p>
    <w:p>
      <w:pPr>
        <w:pStyle w:val="Heading3"/>
      </w:pPr>
      <w:r>
        <w:rPr>
          <w:rFonts w:ascii="Afacad" w:cs="Afacad" w:eastAsia="Afacad" w:hAnsi="Afacad"/>
          <w:b/>
          <w:bCs/>
          <w:i w:val="false"/>
          <w:iCs w:val="false"/>
          <w:color w:val="C24A1F"/>
          <w:sz w:val="26"/>
          <w:szCs w:val="26"/>
        </w:rPr>
        <w:t xml:space="preserve">Cómo calcularlo</w:t>
      </w:r>
    </w:p>
    <w:p>
      <w:pPr>
        <w:pStyle w:val="ListParagraph"/>
        <w:numPr>
          <w:ilvl w:val="0"/>
          <w:numId w:val="2"/>
        </w:numPr>
        <w:spacing w:after="60" w:before="0"/>
      </w:pPr>
      <w:r>
        <w:rPr>
          <w:rFonts w:ascii="Afacad" w:cs="Afacad" w:eastAsia="Afacad" w:hAnsi="Afacad"/>
          <w:b w:val="false"/>
          <w:bCs w:val="false"/>
          <w:i w:val="false"/>
          <w:iCs w:val="false"/>
          <w:color w:val="3D1A0A"/>
          <w:sz w:val="22"/>
          <w:szCs w:val="22"/>
        </w:rPr>
        <w:t xml:space="preserve">Usar Apollo (búsqueda gratuita, sin créditos) con los filtros de ICP del cliente: sector, tamaño de empresa, geografía, keywords.</w:t>
      </w:r>
    </w:p>
    <w:p>
      <w:pPr>
        <w:pStyle w:val="ListParagraph"/>
        <w:numPr>
          <w:ilvl w:val="0"/>
          <w:numId w:val="2"/>
        </w:numPr>
        <w:spacing w:after="60" w:before="0"/>
      </w:pPr>
      <w:r>
        <w:rPr>
          <w:rFonts w:ascii="Afacad" w:cs="Afacad" w:eastAsia="Afacad" w:hAnsi="Afacad"/>
          <w:b w:val="false"/>
          <w:bCs w:val="false"/>
          <w:i w:val="false"/>
          <w:iCs w:val="false"/>
          <w:color w:val="3D1A0A"/>
          <w:sz w:val="22"/>
          <w:szCs w:val="22"/>
        </w:rPr>
        <w:t xml:space="preserve">Hacer 2-3 búsquedas con variaciones de filtros para triangular el número. Ej: una búsqueda amplia, una intermedia y una restrictiva.</w:t>
      </w:r>
    </w:p>
    <w:p>
      <w:pPr>
        <w:pStyle w:val="ListParagraph"/>
        <w:numPr>
          <w:ilvl w:val="0"/>
          <w:numId w:val="2"/>
        </w:numPr>
        <w:spacing w:after="60" w:before="0"/>
      </w:pPr>
      <w:r>
        <w:rPr>
          <w:rFonts w:ascii="Afacad" w:cs="Afacad" w:eastAsia="Afacad" w:hAnsi="Afacad"/>
          <w:b w:val="false"/>
          <w:bCs w:val="false"/>
          <w:i w:val="false"/>
          <w:iCs w:val="false"/>
          <w:color w:val="3D1A0A"/>
          <w:sz w:val="22"/>
          <w:szCs w:val="22"/>
        </w:rPr>
        <w:t xml:space="preserve">Presentar el resultado como un rango: "Estimamos entre X e Y empresas target en tu mercado."</w:t>
      </w:r>
    </w:p>
    <w:p>
      <w:pPr>
        <w:pStyle w:val="ListParagraph"/>
        <w:numPr>
          <w:ilvl w:val="0"/>
          <w:numId w:val="2"/>
        </w:numPr>
        <w:spacing w:after="60" w:before="0"/>
      </w:pPr>
      <w:r>
        <w:rPr>
          <w:rFonts w:ascii="Afacad" w:cs="Afacad" w:eastAsia="Afacad" w:hAnsi="Afacad"/>
          <w:b w:val="false"/>
          <w:bCs w:val="false"/>
          <w:i w:val="false"/>
          <w:iCs w:val="false"/>
          <w:color w:val="3D1A0A"/>
          <w:sz w:val="22"/>
          <w:szCs w:val="22"/>
        </w:rPr>
        <w:t xml:space="preserve">Desglosar por segmento si hay más de uno (ej: por vertical, por tamaño, por geografía).</w:t>
      </w:r>
    </w:p>
    <w:p>
      <w:pPr>
        <w:pStyle w:val="ListParagraph"/>
        <w:numPr>
          <w:ilvl w:val="0"/>
          <w:numId w:val="2"/>
        </w:numPr>
        <w:spacing w:after="100" w:before="0"/>
      </w:pPr>
      <w:r>
        <w:rPr>
          <w:rFonts w:ascii="Afacad" w:cs="Afacad" w:eastAsia="Afacad" w:hAnsi="Afacad"/>
          <w:b w:val="false"/>
          <w:bCs w:val="false"/>
          <w:i w:val="false"/>
          <w:iCs w:val="false"/>
          <w:color w:val="3D1A0A"/>
          <w:sz w:val="22"/>
          <w:szCs w:val="22"/>
        </w:rPr>
        <w:t xml:space="preserve">Incluir una nota sobre la "densidad" del mercado: si el TAM es pequeño (&lt;500 empresas), avisar que el proyecto requiere un approach muy targeted. Si es grande (&gt;5.000), hay margen para iterar.</w:t>
      </w:r>
    </w:p>
    <w:p>
      <w:pPr>
        <w:pStyle w:val="Heading3"/>
      </w:pPr>
      <w:r>
        <w:rPr>
          <w:rFonts w:ascii="Afacad" w:cs="Afacad" w:eastAsia="Afacad" w:hAnsi="Afacad"/>
          <w:b/>
          <w:bCs/>
          <w:i w:val="false"/>
          <w:iCs w:val="false"/>
          <w:color w:val="C24A1F"/>
          <w:sz w:val="26"/>
          <w:szCs w:val="26"/>
        </w:rPr>
        <w:t xml:space="preserve">Formato del output</w:t>
      </w:r>
    </w:p>
    <w:p>
      <w:pPr>
        <w:spacing w:after="120" w:before="0"/>
        <w:jc w:val="both"/>
      </w:pPr>
      <w:r>
        <w:rPr>
          <w:rFonts w:ascii="Afacad" w:cs="Afacad" w:eastAsia="Afacad" w:hAnsi="Afacad"/>
          <w:b w:val="false"/>
          <w:bCs w:val="false"/>
          <w:i w:val="false"/>
          <w:iCs w:val="false"/>
          <w:color w:val="3D1A0A"/>
          <w:sz w:val="22"/>
          <w:szCs w:val="22"/>
        </w:rPr>
        <w:t xml:space="preserve">Tabla resumen con: Segmento | Filtros usados | Empresas encontradas (rango) | Densidad del mercado. Más un párrafo interpretativo de 3-4 líneas.</w:t>
      </w:r>
    </w:p>
    <w:p>
      <w:pPr>
        <w:pStyle w:val="Heading2"/>
        <w:spacing w:after="160" w:before="280"/>
      </w:pPr>
      <w:r>
        <w:rPr>
          <w:rFonts w:ascii="Afacad" w:cs="Afacad" w:eastAsia="Afacad" w:hAnsi="Afacad"/>
          <w:b/>
          <w:bCs/>
          <w:i w:val="false"/>
          <w:iCs w:val="false"/>
          <w:color w:val="E45925"/>
          <w:sz w:val="32"/>
          <w:szCs w:val="32"/>
        </w:rPr>
        <w:t xml:space="preserve">3.2 Propuesta de pricing por Qualified Meeting</w:t>
      </w:r>
    </w:p>
    <w:p>
      <w:pPr>
        <w:spacing w:after="100" w:before="0"/>
        <w:jc w:val="both"/>
      </w:pPr>
      <w:r>
        <w:rPr>
          <w:rFonts w:ascii="Afacad" w:cs="Afacad" w:eastAsia="Afacad" w:hAnsi="Afacad"/>
          <w:b w:val="false"/>
          <w:bCs w:val="false"/>
          <w:i w:val="false"/>
          <w:iCs w:val="false"/>
          <w:color w:val="3D1A0A"/>
          <w:sz w:val="22"/>
          <w:szCs w:val="22"/>
        </w:rPr>
        <w:t xml:space="preserve">Esta es la sección clave para el consultor. Le permite llegar a la reunión de propuesta con un precio fundamentado, no inventado.</w:t>
      </w:r>
    </w:p>
    <w:p>
      <w:pPr>
        <w:pStyle w:val="Heading3"/>
      </w:pPr>
      <w:r>
        <w:rPr>
          <w:rFonts w:ascii="Afacad" w:cs="Afacad" w:eastAsia="Afacad" w:hAnsi="Afacad"/>
          <w:b/>
          <w:bCs/>
          <w:i w:val="false"/>
          <w:iCs w:val="false"/>
          <w:color w:val="C24A1F"/>
          <w:sz w:val="26"/>
          <w:szCs w:val="26"/>
        </w:rPr>
        <w:t xml:space="preserve">Estructura del pricing LGaaS</w:t>
      </w:r>
    </w:p>
    <w:p>
      <w:pPr>
        <w:spacing w:after="80" w:before="0"/>
        <w:jc w:val="both"/>
      </w:pPr>
      <w:r>
        <w:rPr>
          <w:rFonts w:ascii="Afacad" w:cs="Afacad" w:eastAsia="Afacad" w:hAnsi="Afacad"/>
          <w:b w:val="false"/>
          <w:bCs w:val="false"/>
          <w:i w:val="false"/>
          <w:iCs w:val="false"/>
          <w:color w:val="3D1A0A"/>
          <w:sz w:val="22"/>
          <w:szCs w:val="22"/>
        </w:rPr>
        <w:t xml:space="preserve">El modelo de pricing de TopSpin para LGaaS tiene dos componentes: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400"/>
        <w:gridCol w:w="3600"/>
        <w:gridCol w:w="3840"/>
      </w:tblGrid>
      <w:tr>
        <w:tc>
          <w:tcPr>
            <w:tcW w:type="dxa" w:w="240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Componente</w:t>
            </w:r>
          </w:p>
        </w:tc>
        <w:tc>
          <w:tcPr>
            <w:tcW w:type="dxa" w:w="360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Descripción</w:t>
            </w:r>
          </w:p>
        </w:tc>
        <w:tc>
          <w:tcPr>
            <w:tcW w:type="dxa" w:w="384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Valor</w:t>
            </w:r>
          </w:p>
        </w:tc>
      </w:tr>
      <w:tr>
        <w:tc>
          <w:tcPr>
            <w:tcW w:type="dxa" w:w="24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Fee fijo mensual</w:t>
            </w:r>
          </w:p>
        </w:tc>
        <w:tc>
          <w:tcPr>
            <w:tcW w:type="dxa" w:w="3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Coste de operación del servicio. Cubre herramientas, setup, gestión de campañas, optimización continua.</w:t>
            </w:r>
          </w:p>
        </w:tc>
        <w:tc>
          <w:tcPr>
            <w:tcW w:type="dxa" w:w="38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Siempre 500€/mes</w:t>
            </w:r>
          </w:p>
        </w:tc>
      </w:tr>
      <w:tr>
        <w:tc>
          <w:tcPr>
            <w:tcW w:type="dxa" w:w="24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Fee variable por QM</w:t>
            </w:r>
          </w:p>
        </w:tc>
        <w:tc>
          <w:tcPr>
            <w:tcW w:type="dxa" w:w="36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Coste por cada Qualified Meeting generada. Es donde está la propuesta de valor y donde el precio se adapta al cliente.</w:t>
            </w:r>
          </w:p>
        </w:tc>
        <w:tc>
          <w:tcPr>
            <w:tcW w:type="dxa" w:w="38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Variable (es lo que calcula el skill)</w:t>
            </w:r>
          </w:p>
        </w:tc>
      </w:tr>
    </w:tbl>
    <w:p>
      <w:pPr>
        <w:pStyle w:val="Heading3"/>
        <w:spacing w:after="120" w:before="200"/>
      </w:pPr>
      <w:r>
        <w:rPr>
          <w:rFonts w:ascii="Afacad" w:cs="Afacad" w:eastAsia="Afacad" w:hAnsi="Afacad"/>
          <w:b/>
          <w:bCs/>
          <w:i w:val="false"/>
          <w:iCs w:val="false"/>
          <w:color w:val="C24A1F"/>
          <w:sz w:val="26"/>
          <w:szCs w:val="26"/>
        </w:rPr>
        <w:t xml:space="preserve">Cómo calcular el precio por Qualified Meeting</w:t>
      </w:r>
    </w:p>
    <w:p>
      <w:pPr>
        <w:spacing w:after="80" w:before="0"/>
        <w:jc w:val="both"/>
      </w:pPr>
      <w:r>
        <w:rPr>
          <w:rFonts w:ascii="Afacad" w:cs="Afacad" w:eastAsia="Afacad" w:hAnsi="Afacad"/>
          <w:b w:val="false"/>
          <w:bCs w:val="false"/>
          <w:i w:val="false"/>
          <w:iCs w:val="false"/>
          <w:color w:val="3D1A0A"/>
          <w:sz w:val="22"/>
          <w:szCs w:val="22"/>
        </w:rPr>
        <w:t xml:space="preserve">El skill debe hacer un análisis multifactorial para proponer un rango de precio por QM. Los factores a considerar:</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200"/>
        <w:gridCol w:w="4200"/>
        <w:gridCol w:w="3440"/>
      </w:tblGrid>
      <w:tr>
        <w:tc>
          <w:tcPr>
            <w:tcW w:type="dxa" w:w="220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Factor</w:t>
            </w:r>
          </w:p>
        </w:tc>
        <w:tc>
          <w:tcPr>
            <w:tcW w:type="dxa" w:w="420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Lógica</w:t>
            </w:r>
          </w:p>
        </w:tc>
        <w:tc>
          <w:tcPr>
            <w:tcW w:type="dxa" w:w="344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Impacto en precio</w:t>
            </w:r>
          </w:p>
        </w:tc>
      </w:tr>
      <w:tr>
        <w:tc>
          <w:tcPr>
            <w:tcW w:type="dxa" w:w="2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AOV del cliente</w:t>
            </w:r>
          </w:p>
        </w:tc>
        <w:tc>
          <w:tcPr>
            <w:tcW w:type="dxa" w:w="4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Cuanto mayor es el valor del contrato que el cliente cierra, más puede pagar por una QM. Referencia: el coste de adquisición de una QM no debería superar el 5-15% del AOV.</w:t>
            </w:r>
          </w:p>
        </w:tc>
        <w:tc>
          <w:tcPr>
            <w:tcW w:type="dxa" w:w="34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A mayor AOV, mayor precio por QM</w:t>
            </w:r>
          </w:p>
        </w:tc>
      </w:tr>
      <w:tr>
        <w:tc>
          <w:tcPr>
            <w:tcW w:type="dxa" w:w="2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Sector del target</w:t>
            </w:r>
          </w:p>
        </w:tc>
        <w:tc>
          <w:tcPr>
            <w:tcW w:type="dxa" w:w="4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Algunos sectores son más difíciles de penetrar en outbound (ej: banca, salud) vs. otros más accesibles (ej: SaaS, agencias). Investigar benchmarks de coste por QM del sector.</w:t>
            </w:r>
          </w:p>
        </w:tc>
        <w:tc>
          <w:tcPr>
            <w:tcW w:type="dxa" w:w="34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Sectores difíciles = precio más alto</w:t>
            </w:r>
          </w:p>
        </w:tc>
      </w:tr>
      <w:tr>
        <w:tc>
          <w:tcPr>
            <w:tcW w:type="dxa" w:w="2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Dificultad del ICP</w:t>
            </w:r>
          </w:p>
        </w:tc>
        <w:tc>
          <w:tcPr>
            <w:tcW w:type="dxa" w:w="4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Tamaño del TAM, seniority de los DMs (C-level es más caro que managers), nicho vs. mercado amplio, disponibilidad de datos de contacto.</w:t>
            </w:r>
          </w:p>
        </w:tc>
        <w:tc>
          <w:tcPr>
            <w:tcW w:type="dxa" w:w="34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DMs senior / nicho = precio más alto</w:t>
            </w:r>
          </w:p>
        </w:tc>
      </w:tr>
      <w:tr>
        <w:tc>
          <w:tcPr>
            <w:tcW w:type="dxa" w:w="2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Geografía</w:t>
            </w:r>
          </w:p>
        </w:tc>
        <w:tc>
          <w:tcPr>
            <w:tcW w:type="dxa" w:w="4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Mercados anglosajón y DACH tienen mejor data en Apollo. LatAm y sur de Europa pueden tener menor cobertura.</w:t>
            </w:r>
          </w:p>
        </w:tc>
        <w:tc>
          <w:tcPr>
            <w:tcW w:type="dxa" w:w="34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Baja cobertura = precio más alto</w:t>
            </w:r>
          </w:p>
        </w:tc>
      </w:tr>
      <w:tr>
        <w:tc>
          <w:tcPr>
            <w:tcW w:type="dxa" w:w="2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Ciclo de venta</w:t>
            </w:r>
          </w:p>
        </w:tc>
        <w:tc>
          <w:tcPr>
            <w:tcW w:type="dxa" w:w="4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Ciclos largos (&gt;6 meses) implican un compromiso más largo y mayor coste operativo. El cliente necesita más paciencia y el servicio se amortiza a más largo plazo.</w:t>
            </w:r>
          </w:p>
        </w:tc>
        <w:tc>
          <w:tcPr>
            <w:tcW w:type="dxa" w:w="34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Ciclo largo = justifica precio más alto</w:t>
            </w:r>
          </w:p>
        </w:tc>
      </w:tr>
      <w:tr>
        <w:tc>
          <w:tcPr>
            <w:tcW w:type="dxa" w:w="2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Competencia en outbound</w:t>
            </w:r>
          </w:p>
        </w:tc>
        <w:tc>
          <w:tcPr>
            <w:tcW w:type="dxa" w:w="4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Si el target ya recibe mucho outbound (ej: CTOs de SaaS), las tasas de respuesta bajan y necesitas más volumen para conseguir una QM.</w:t>
            </w:r>
          </w:p>
        </w:tc>
        <w:tc>
          <w:tcPr>
            <w:tcW w:type="dxa" w:w="34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Mucho outbound al target = precio más alto</w:t>
            </w:r>
          </w:p>
        </w:tc>
      </w:tr>
    </w:tbl>
    <w:p>
      <w:pPr>
        <w:pStyle w:val="Heading3"/>
        <w:spacing w:after="120" w:before="200"/>
      </w:pPr>
      <w:r>
        <w:rPr>
          <w:rFonts w:ascii="Afacad" w:cs="Afacad" w:eastAsia="Afacad" w:hAnsi="Afacad"/>
          <w:b/>
          <w:bCs/>
          <w:i w:val="false"/>
          <w:iCs w:val="false"/>
          <w:color w:val="C24A1F"/>
          <w:sz w:val="26"/>
          <w:szCs w:val="26"/>
        </w:rPr>
        <w:t xml:space="preserve">Rango orientativo y formato del output</w:t>
      </w:r>
    </w:p>
    <w:p>
      <w:pPr>
        <w:spacing w:after="80" w:before="0"/>
        <w:jc w:val="both"/>
      </w:pPr>
      <w:r>
        <w:rPr>
          <w:rFonts w:ascii="Afacad" w:cs="Afacad" w:eastAsia="Afacad" w:hAnsi="Afacad"/>
          <w:b w:val="false"/>
          <w:bCs w:val="false"/>
          <w:i w:val="false"/>
          <w:iCs w:val="false"/>
          <w:color w:val="3D1A0A"/>
          <w:sz w:val="22"/>
          <w:szCs w:val="22"/>
        </w:rPr>
        <w:t xml:space="preserve">El skill debe proponer un rango de precio (ej: 150€-250€ por QM), no un número único. Debe incluir:</w:t>
      </w:r>
    </w:p>
    <w:p>
      <w:pPr>
        <w:pStyle w:val="ListParagraph"/>
        <w:numPr>
          <w:ilvl w:val="0"/>
          <w:numId w:val="3"/>
        </w:numPr>
        <w:spacing w:after="40" w:before="0"/>
      </w:pPr>
      <w:r>
        <w:rPr>
          <w:rFonts w:ascii="Afacad" w:cs="Afacad" w:eastAsia="Afacad" w:hAnsi="Afacad"/>
          <w:b w:val="false"/>
          <w:bCs w:val="false"/>
          <w:i w:val="false"/>
          <w:iCs w:val="false"/>
          <w:color w:val="3D1A0A"/>
          <w:sz w:val="22"/>
          <w:szCs w:val="22"/>
        </w:rPr>
        <w:t xml:space="preserve">Tabla con cada factor, su valoración para este cliente concreto (ej: "AOV alto: 25.000€", "Sector: SaaS, dificultad media"), y cómo influye en el precio.</w:t>
      </w:r>
    </w:p>
    <w:p>
      <w:pPr>
        <w:pStyle w:val="ListParagraph"/>
        <w:numPr>
          <w:ilvl w:val="0"/>
          <w:numId w:val="3"/>
        </w:numPr>
        <w:spacing w:after="40" w:before="0"/>
      </w:pPr>
      <w:r>
        <w:rPr>
          <w:rFonts w:ascii="Afacad" w:cs="Afacad" w:eastAsia="Afacad" w:hAnsi="Afacad"/>
          <w:b w:val="false"/>
          <w:bCs w:val="false"/>
          <w:i w:val="false"/>
          <w:iCs w:val="false"/>
          <w:color w:val="3D1A0A"/>
          <w:sz w:val="22"/>
          <w:szCs w:val="22"/>
        </w:rPr>
        <w:t xml:space="preserve">Rango de precio recomendado con justificación.</w:t>
      </w:r>
    </w:p>
    <w:p>
      <w:pPr>
        <w:pStyle w:val="ListParagraph"/>
        <w:numPr>
          <w:ilvl w:val="0"/>
          <w:numId w:val="3"/>
        </w:numPr>
        <w:spacing w:after="40" w:before="0"/>
      </w:pPr>
      <w:r>
        <w:rPr>
          <w:rFonts w:ascii="Afacad" w:cs="Afacad" w:eastAsia="Afacad" w:hAnsi="Afacad"/>
          <w:b w:val="false"/>
          <w:bCs w:val="false"/>
          <w:i w:val="false"/>
          <w:iCs w:val="false"/>
          <w:color w:val="3D1A0A"/>
          <w:sz w:val="22"/>
          <w:szCs w:val="22"/>
        </w:rPr>
        <w:t xml:space="preserve">Un breve benchmark: "En proyectos similares de LGaaS (sector X, AOV Y), el coste por QM suele estar entre A€ y B€."</w:t>
      </w:r>
    </w:p>
    <w:p>
      <w:pPr>
        <w:pStyle w:val="ListParagraph"/>
        <w:numPr>
          <w:ilvl w:val="0"/>
          <w:numId w:val="3"/>
        </w:numPr>
        <w:spacing w:after="100" w:before="0"/>
      </w:pPr>
      <w:r>
        <w:rPr>
          <w:rFonts w:ascii="Afacad" w:cs="Afacad" w:eastAsia="Afacad" w:hAnsi="Afacad"/>
          <w:b w:val="false"/>
          <w:bCs w:val="false"/>
          <w:i w:val="false"/>
          <w:iCs w:val="false"/>
          <w:color w:val="3D1A0A"/>
          <w:sz w:val="22"/>
          <w:szCs w:val="22"/>
        </w:rPr>
        <w:t xml:space="preserve">Una simulación rápida: "Si generamos Z QMs al mes a X€/QM, el coste mensual total sería de N€ (500€ fijo + variable). Esto representa un Y% del valor esperado de las oportunidades generadas."</w:t>
      </w:r>
    </w:p>
    <w:p>
      <w:pPr>
        <w:pStyle w:val="Heading2"/>
        <w:spacing w:after="160" w:before="280"/>
      </w:pPr>
      <w:r>
        <w:rPr>
          <w:rFonts w:ascii="Afacad" w:cs="Afacad" w:eastAsia="Afacad" w:hAnsi="Afacad"/>
          <w:b/>
          <w:bCs/>
          <w:i w:val="false"/>
          <w:iCs w:val="false"/>
          <w:color w:val="E45925"/>
          <w:sz w:val="32"/>
          <w:szCs w:val="32"/>
        </w:rPr>
        <w:t xml:space="preserve">3.3 Propuesta de segmentos de targeting</w:t>
      </w:r>
    </w:p>
    <w:p>
      <w:pPr>
        <w:spacing w:after="100" w:before="0"/>
        <w:jc w:val="both"/>
      </w:pPr>
      <w:r>
        <w:rPr>
          <w:rFonts w:ascii="Afacad" w:cs="Afacad" w:eastAsia="Afacad" w:hAnsi="Afacad"/>
          <w:b w:val="false"/>
          <w:bCs w:val="false"/>
          <w:i w:val="false"/>
          <w:iCs w:val="false"/>
          <w:color w:val="3D1A0A"/>
          <w:sz w:val="22"/>
          <w:szCs w:val="22"/>
        </w:rPr>
        <w:t xml:space="preserve">Esta sección no necesita el nivel de detalle del pipeline completo de LGaaS. Es una propuesta rápida, de alto nivel, para que el consultor pueda presentarla al cliente y validar la estrategia antes de arrancar.</w:t>
      </w:r>
    </w:p>
    <w:p>
      <w:pPr>
        <w:pStyle w:val="Heading3"/>
      </w:pPr>
      <w:r>
        <w:rPr>
          <w:rFonts w:ascii="Afacad" w:cs="Afacad" w:eastAsia="Afacad" w:hAnsi="Afacad"/>
          <w:b/>
          <w:bCs/>
          <w:i w:val="false"/>
          <w:iCs w:val="false"/>
          <w:color w:val="C24A1F"/>
          <w:sz w:val="26"/>
          <w:szCs w:val="26"/>
        </w:rPr>
        <w:t xml:space="preserve">Qué incluir por cada segmento propuesto</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2800"/>
        <w:gridCol w:w="7040"/>
      </w:tblGrid>
      <w:tr>
        <w:tc>
          <w:tcPr>
            <w:tcW w:type="dxa" w:w="280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Campo</w:t>
            </w:r>
          </w:p>
        </w:tc>
        <w:tc>
          <w:tcPr>
            <w:tcW w:type="dxa" w:w="704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Descripción</w:t>
            </w:r>
          </w:p>
        </w:tc>
      </w:tr>
      <w:tr>
        <w:tc>
          <w:tcPr>
            <w:tcW w:type="dxa" w:w="28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Nombre del segmento</w:t>
            </w:r>
          </w:p>
        </w:tc>
        <w:tc>
          <w:tcPr>
            <w:tcW w:type="dxa" w:w="70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Nombre descriptivo y corto (ej: "SaaS B2B &gt; 50 empleados en España").</w:t>
            </w:r>
          </w:p>
        </w:tc>
      </w:tr>
      <w:tr>
        <w:tc>
          <w:tcPr>
            <w:tcW w:type="dxa" w:w="28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Tipo de empresa target</w:t>
            </w:r>
          </w:p>
        </w:tc>
        <w:tc>
          <w:tcPr>
            <w:tcW w:type="dxa" w:w="70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Sector, tamaño (empleados y/o facturación), geografía.</w:t>
            </w:r>
          </w:p>
        </w:tc>
      </w:tr>
      <w:tr>
        <w:tc>
          <w:tcPr>
            <w:tcW w:type="dxa" w:w="28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Perfil del DM</w:t>
            </w:r>
          </w:p>
        </w:tc>
        <w:tc>
          <w:tcPr>
            <w:tcW w:type="dxa" w:w="70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Títulos y seniority de los decision makers a contactar (ej: VP Sales, CRO, Head of Growth).</w:t>
            </w:r>
          </w:p>
        </w:tc>
      </w:tr>
      <w:tr>
        <w:tc>
          <w:tcPr>
            <w:tcW w:type="dxa" w:w="28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Señales propuestas</w:t>
            </w:r>
          </w:p>
        </w:tc>
        <w:tc>
          <w:tcPr>
            <w:tcW w:type="dxa" w:w="70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Indicadores de timing o intent que justifican contactar ahora (ej: hiring para SDRs, recientemente fund-raised, cambio de CRO, adopción de herramienta concreta). El skill debe proponer señales realistas basadas en el sector y el ICP.</w:t>
            </w:r>
          </w:p>
        </w:tc>
      </w:tr>
      <w:tr>
        <w:tc>
          <w:tcPr>
            <w:tcW w:type="dxa" w:w="28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Estimación de volumen</w:t>
            </w:r>
          </w:p>
        </w:tc>
        <w:tc>
          <w:tcPr>
            <w:tcW w:type="dxa" w:w="70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Empresas aproximadas en este segmento (dato de Apollo). Consistente con la sección de TAM.</w:t>
            </w:r>
          </w:p>
        </w:tc>
      </w:tr>
      <w:tr>
        <w:tc>
          <w:tcPr>
            <w:tcW w:type="dxa" w:w="28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Prioridad sugerida</w:t>
            </w:r>
          </w:p>
        </w:tc>
        <w:tc>
          <w:tcPr>
            <w:tcW w:type="dxa" w:w="70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Alta / Media / Baja. Basada en el fit con el ICP y la densidad del segmento.</w:t>
            </w:r>
          </w:p>
        </w:tc>
      </w:tr>
    </w:tbl>
    <w:p>
      <w:pPr>
        <w:spacing w:after="120" w:before="120"/>
        <w:jc w:val="both"/>
      </w:pPr>
      <w:r>
        <w:rPr>
          <w:rFonts w:ascii="Afacad" w:cs="Afacad" w:eastAsia="Afacad" w:hAnsi="Afacad"/>
          <w:b w:val="false"/>
          <w:bCs w:val="false"/>
          <w:i w:val="false"/>
          <w:iCs w:val="false"/>
          <w:color w:val="3D1A0A"/>
          <w:sz w:val="22"/>
          <w:szCs w:val="22"/>
        </w:rPr>
        <w:t xml:space="preserve">Proponer entre 2 y 5 segmentos. No más. El objetivo es dar una visión rápida de la estrategia, no un plan operativo detallado.</w:t>
      </w:r>
    </w:p>
    <w:p>
      <w:pPr>
        <w:pStyle w:val="Heading2"/>
        <w:spacing w:after="160" w:before="280"/>
      </w:pPr>
      <w:r>
        <w:rPr>
          <w:rFonts w:ascii="Afacad" w:cs="Afacad" w:eastAsia="Afacad" w:hAnsi="Afacad"/>
          <w:b/>
          <w:bCs/>
          <w:i w:val="false"/>
          <w:iCs w:val="false"/>
          <w:color w:val="E45925"/>
          <w:sz w:val="32"/>
          <w:szCs w:val="32"/>
        </w:rPr>
        <w:t xml:space="preserve">3.4 Sample: 10 empresas con 10 decision makers</w:t>
      </w:r>
    </w:p>
    <w:p>
      <w:pPr>
        <w:spacing w:after="100" w:before="0"/>
        <w:jc w:val="both"/>
      </w:pPr>
      <w:r>
        <w:rPr>
          <w:rFonts w:ascii="Afacad" w:cs="Afacad" w:eastAsia="Afacad" w:hAnsi="Afacad"/>
          <w:b w:val="false"/>
          <w:bCs w:val="false"/>
          <w:i w:val="false"/>
          <w:iCs w:val="false"/>
          <w:color w:val="3D1A0A"/>
          <w:sz w:val="22"/>
          <w:szCs w:val="22"/>
        </w:rPr>
        <w:t xml:space="preserve">Esta es la prueba de concepto tangible. El consultor puede enseñarle al cliente 10 empresas reales que encajan con su ICP y 10 personas reales dentro de esas empresas a las que contactaríamos. Nada convence más que datos concretos.</w:t>
      </w:r>
    </w:p>
    <w:p>
      <w:pPr>
        <w:pStyle w:val="Heading3"/>
      </w:pPr>
      <w:r>
        <w:rPr>
          <w:rFonts w:ascii="Afacad" w:cs="Afacad" w:eastAsia="Afacad" w:hAnsi="Afacad"/>
          <w:b/>
          <w:bCs/>
          <w:i w:val="false"/>
          <w:iCs w:val="false"/>
          <w:color w:val="C24A1F"/>
          <w:sz w:val="26"/>
          <w:szCs w:val="26"/>
        </w:rPr>
        <w:t xml:space="preserve">Cómo generarlo</w:t>
      </w:r>
    </w:p>
    <w:p>
      <w:pPr>
        <w:pStyle w:val="ListParagraph"/>
        <w:numPr>
          <w:ilvl w:val="0"/>
          <w:numId w:val="2"/>
        </w:numPr>
        <w:spacing w:after="60" w:before="0"/>
      </w:pPr>
      <w:r>
        <w:rPr>
          <w:rFonts w:ascii="Afacad" w:cs="Afacad" w:eastAsia="Afacad" w:hAnsi="Afacad"/>
          <w:b w:val="false"/>
          <w:bCs w:val="false"/>
          <w:i w:val="false"/>
          <w:iCs w:val="false"/>
          <w:color w:val="3D1A0A"/>
          <w:sz w:val="22"/>
          <w:szCs w:val="22"/>
        </w:rPr>
        <w:t xml:space="preserve">Usar las búsquedas gratuitas de Apollo (apollo_mixed_companies_search y apollo_mixed_people_api_search). No gastar créditos en esta fase.</w:t>
      </w:r>
    </w:p>
    <w:p>
      <w:pPr>
        <w:pStyle w:val="ListParagraph"/>
        <w:numPr>
          <w:ilvl w:val="0"/>
          <w:numId w:val="2"/>
        </w:numPr>
        <w:spacing w:after="60" w:before="0"/>
      </w:pPr>
      <w:r>
        <w:rPr>
          <w:rFonts w:ascii="Afacad" w:cs="Afacad" w:eastAsia="Afacad" w:hAnsi="Afacad"/>
          <w:b w:val="false"/>
          <w:bCs w:val="false"/>
          <w:i w:val="false"/>
          <w:iCs w:val="false"/>
          <w:color w:val="3D1A0A"/>
          <w:sz w:val="22"/>
          <w:szCs w:val="22"/>
        </w:rPr>
        <w:t xml:space="preserve">Seleccionar 10 empresas representativas del TAM: mezclar tamaños (no todas las más grandes), sectores (si hay más de uno) y geografías.</w:t>
      </w:r>
    </w:p>
    <w:p>
      <w:pPr>
        <w:pStyle w:val="ListParagraph"/>
        <w:numPr>
          <w:ilvl w:val="0"/>
          <w:numId w:val="2"/>
        </w:numPr>
        <w:spacing w:after="60" w:before="0"/>
      </w:pPr>
      <w:r>
        <w:rPr>
          <w:rFonts w:ascii="Afacad" w:cs="Afacad" w:eastAsia="Afacad" w:hAnsi="Afacad"/>
          <w:b w:val="false"/>
          <w:bCs w:val="false"/>
          <w:i w:val="false"/>
          <w:iCs w:val="false"/>
          <w:color w:val="3D1A0A"/>
          <w:sz w:val="22"/>
          <w:szCs w:val="22"/>
        </w:rPr>
        <w:t xml:space="preserve">Para cada empresa, buscar 1 decision maker que encaje con el perfil de DM definido en los segmentos. Total: 10 DMs (1 por empresa).</w:t>
      </w:r>
    </w:p>
    <w:p>
      <w:pPr>
        <w:pStyle w:val="ListParagraph"/>
        <w:numPr>
          <w:ilvl w:val="0"/>
          <w:numId w:val="2"/>
        </w:numPr>
        <w:spacing w:after="100" w:before="0"/>
      </w:pPr>
      <w:r>
        <w:rPr>
          <w:rFonts w:ascii="Afacad" w:cs="Afacad" w:eastAsia="Afacad" w:hAnsi="Afacad"/>
          <w:b w:val="false"/>
          <w:bCs w:val="false"/>
          <w:i w:val="false"/>
          <w:iCs w:val="false"/>
          <w:color w:val="3D1A0A"/>
          <w:sz w:val="22"/>
          <w:szCs w:val="22"/>
        </w:rPr>
        <w:t xml:space="preserve">No incluir emails ni teléfonos (eso requiere créditos y se hace en el pipeline real). Solo nombre, cargo, empresa y LinkedIn.</w:t>
      </w:r>
    </w:p>
    <w:p>
      <w:pPr>
        <w:pStyle w:val="Heading3"/>
      </w:pPr>
      <w:r>
        <w:rPr>
          <w:rFonts w:ascii="Afacad" w:cs="Afacad" w:eastAsia="Afacad" w:hAnsi="Afacad"/>
          <w:b/>
          <w:bCs/>
          <w:i w:val="false"/>
          <w:iCs w:val="false"/>
          <w:color w:val="C24A1F"/>
          <w:sz w:val="26"/>
          <w:szCs w:val="26"/>
        </w:rPr>
        <w:t xml:space="preserve">Formato del output</w:t>
      </w:r>
    </w:p>
    <w:p>
      <w:pPr>
        <w:spacing w:after="80" w:before="0"/>
        <w:jc w:val="both"/>
      </w:pPr>
      <w:r>
        <w:rPr>
          <w:rFonts w:ascii="Afacad" w:cs="Afacad" w:eastAsia="Afacad" w:hAnsi="Afacad"/>
          <w:b w:val="false"/>
          <w:bCs w:val="false"/>
          <w:i w:val="false"/>
          <w:iCs w:val="false"/>
          <w:color w:val="3D1A0A"/>
          <w:sz w:val="22"/>
          <w:szCs w:val="22"/>
        </w:rPr>
        <w:t xml:space="preserve">Dos tablas:</w:t>
      </w:r>
    </w:p>
    <w:p>
      <w:pPr>
        <w:spacing w:after="60" w:before="0"/>
        <w:jc w:val="both"/>
      </w:pPr>
      <w:r>
        <w:rPr>
          <w:rFonts w:ascii="Afacad" w:cs="Afacad" w:eastAsia="Afacad" w:hAnsi="Afacad"/>
          <w:b/>
          <w:bCs/>
          <w:i w:val="false"/>
          <w:iCs w:val="false"/>
          <w:color w:val="3D1A0A"/>
          <w:sz w:val="22"/>
          <w:szCs w:val="22"/>
        </w:rPr>
        <w:t xml:space="preserve">Tabla de empresas:</w:t>
      </w:r>
      <w:r>
        <w:rPr>
          <w:rFonts w:ascii="Afacad" w:cs="Afacad" w:eastAsia="Afacad" w:hAnsi="Afacad"/>
          <w:b w:val="false"/>
          <w:bCs w:val="false"/>
          <w:i w:val="false"/>
          <w:iCs w:val="false"/>
          <w:color w:val="3D1A0A"/>
          <w:sz w:val="22"/>
          <w:szCs w:val="22"/>
        </w:rPr>
        <w:t xml:space="preserve"> Nombre | Sector | Empleados | Facturación (si disponible) | País | Web | Por qué encaja.</w:t>
      </w:r>
    </w:p>
    <w:p>
      <w:pPr>
        <w:spacing w:after="120" w:before="0"/>
        <w:jc w:val="both"/>
      </w:pPr>
      <w:r>
        <w:rPr>
          <w:rFonts w:ascii="Afacad" w:cs="Afacad" w:eastAsia="Afacad" w:hAnsi="Afacad"/>
          <w:b/>
          <w:bCs/>
          <w:i w:val="false"/>
          <w:iCs w:val="false"/>
          <w:color w:val="3D1A0A"/>
          <w:sz w:val="22"/>
          <w:szCs w:val="22"/>
        </w:rPr>
        <w:t xml:space="preserve">Tabla de decision makers:</w:t>
      </w:r>
      <w:r>
        <w:rPr>
          <w:rFonts w:ascii="Afacad" w:cs="Afacad" w:eastAsia="Afacad" w:hAnsi="Afacad"/>
          <w:b w:val="false"/>
          <w:bCs w:val="false"/>
          <w:i w:val="false"/>
          <w:iCs w:val="false"/>
          <w:color w:val="3D1A0A"/>
          <w:sz w:val="22"/>
          <w:szCs w:val="22"/>
        </w:rPr>
        <w:t xml:space="preserve"> Nombre | Cargo | Empresa | LinkedIn | Seniority | Por qué es el DM correcto.</w:t>
      </w:r>
    </w:p>
    <w:p>
      <w:pPr>
        <w:pStyle w:val="Heading1"/>
        <w:spacing w:after="200" w:before="400"/>
      </w:pPr>
      <w:r>
        <w:rPr>
          <w:rFonts w:ascii="Afacad" w:cs="Afacad" w:eastAsia="Afacad" w:hAnsi="Afacad"/>
          <w:b/>
          <w:bCs/>
          <w:i w:val="false"/>
          <w:iCs w:val="false"/>
          <w:color w:val="E45925"/>
          <w:sz w:val="48"/>
          <w:szCs w:val="48"/>
        </w:rPr>
        <w:t xml:space="preserve">4. Flujo de ejecución del skill</w:t>
      </w:r>
    </w:p>
    <w:p>
      <w:pPr>
        <w:spacing w:after="120" w:before="0"/>
        <w:jc w:val="both"/>
      </w:pPr>
      <w:r>
        <w:rPr>
          <w:rFonts w:ascii="Afacad" w:cs="Afacad" w:eastAsia="Afacad" w:hAnsi="Afacad"/>
          <w:b w:val="false"/>
          <w:bCs w:val="false"/>
          <w:i w:val="false"/>
          <w:iCs w:val="false"/>
          <w:color w:val="3D1A0A"/>
          <w:sz w:val="22"/>
          <w:szCs w:val="22"/>
        </w:rPr>
        <w:t xml:space="preserve">A continuación, el flujo paso a paso que debe seguir el skill desde que recibe las notas hasta que entrega el documento final.</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800"/>
        <w:gridCol w:w="2200"/>
        <w:gridCol w:w="4400"/>
        <w:gridCol w:w="2440"/>
      </w:tblGrid>
      <w:tr>
        <w:tc>
          <w:tcPr>
            <w:tcW w:type="dxa" w:w="80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Fase</w:t>
            </w:r>
          </w:p>
        </w:tc>
        <w:tc>
          <w:tcPr>
            <w:tcW w:type="dxa" w:w="220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Nombre</w:t>
            </w:r>
          </w:p>
        </w:tc>
        <w:tc>
          <w:tcPr>
            <w:tcW w:type="dxa" w:w="440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Qué hace</w:t>
            </w:r>
          </w:p>
        </w:tc>
        <w:tc>
          <w:tcPr>
            <w:tcW w:type="dxa" w:w="244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Interacción</w:t>
            </w:r>
          </w:p>
        </w:tc>
      </w:tr>
      <w:tr>
        <w:tc>
          <w:tcPr>
            <w:tcW w:type="dxa" w:w="8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0</w:t>
            </w:r>
          </w:p>
        </w:tc>
        <w:tc>
          <w:tcPr>
            <w:tcW w:type="dxa" w:w="2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Parsear notas</w:t>
            </w:r>
          </w:p>
        </w:tc>
        <w:tc>
          <w:tcPr>
            <w:tcW w:type="dxa" w:w="44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Leer las notas de discovery. Extraer los datos clave (ver sección 2). Identificar qué falta.</w:t>
            </w:r>
          </w:p>
        </w:tc>
        <w:tc>
          <w:tcPr>
            <w:tcW w:type="dxa" w:w="24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Automática</w:t>
            </w:r>
          </w:p>
        </w:tc>
      </w:tr>
      <w:tr>
        <w:tc>
          <w:tcPr>
            <w:tcW w:type="dxa" w:w="8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1</w:t>
            </w:r>
          </w:p>
        </w:tc>
        <w:tc>
          <w:tcPr>
            <w:tcW w:type="dxa" w:w="2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Gap analysis</w:t>
            </w:r>
          </w:p>
        </w:tc>
        <w:tc>
          <w:tcPr>
            <w:tcW w:type="dxa" w:w="44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Si faltan datos obligatorios, hacer UNA ronda de preguntas al consultor. Todo junto, sin ida y vuelta.</w:t>
            </w:r>
          </w:p>
        </w:tc>
        <w:tc>
          <w:tcPr>
            <w:tcW w:type="dxa" w:w="24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1 ronda de preguntas (si necesario)</w:t>
            </w:r>
          </w:p>
        </w:tc>
      </w:tr>
      <w:tr>
        <w:tc>
          <w:tcPr>
            <w:tcW w:type="dxa" w:w="8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2</w:t>
            </w:r>
          </w:p>
        </w:tc>
        <w:tc>
          <w:tcPr>
            <w:tcW w:type="dxa" w:w="2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Research web</w:t>
            </w:r>
          </w:p>
        </w:tc>
        <w:tc>
          <w:tcPr>
            <w:tcW w:type="dxa" w:w="44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Scraping de la web del cliente para complementar la información de las notas (qué venden, a quién, clientes, etc.).</w:t>
            </w:r>
          </w:p>
        </w:tc>
        <w:tc>
          <w:tcPr>
            <w:tcW w:type="dxa" w:w="24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Automática</w:t>
            </w:r>
          </w:p>
        </w:tc>
      </w:tr>
      <w:tr>
        <w:tc>
          <w:tcPr>
            <w:tcW w:type="dxa" w:w="8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3</w:t>
            </w:r>
          </w:p>
        </w:tc>
        <w:tc>
          <w:tcPr>
            <w:tcW w:type="dxa" w:w="2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Apollo: TAM</w:t>
            </w:r>
          </w:p>
        </w:tc>
        <w:tc>
          <w:tcPr>
            <w:tcW w:type="dxa" w:w="44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Búsquedas gratuitas en Apollo para estimar el TAM. 2-3 queries con variaciones de filtros.</w:t>
            </w:r>
          </w:p>
        </w:tc>
        <w:tc>
          <w:tcPr>
            <w:tcW w:type="dxa" w:w="24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Automática</w:t>
            </w:r>
          </w:p>
        </w:tc>
      </w:tr>
      <w:tr>
        <w:tc>
          <w:tcPr>
            <w:tcW w:type="dxa" w:w="8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4</w:t>
            </w:r>
          </w:p>
        </w:tc>
        <w:tc>
          <w:tcPr>
            <w:tcW w:type="dxa" w:w="2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Análisis de pricing</w:t>
            </w:r>
          </w:p>
        </w:tc>
        <w:tc>
          <w:tcPr>
            <w:tcW w:type="dxa" w:w="44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Cruzar AOV, sector, dificultad, geografía, ciclo de venta para proponer rango de precio por QM.</w:t>
            </w:r>
          </w:p>
        </w:tc>
        <w:tc>
          <w:tcPr>
            <w:tcW w:type="dxa" w:w="24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Automática</w:t>
            </w:r>
          </w:p>
        </w:tc>
      </w:tr>
      <w:tr>
        <w:tc>
          <w:tcPr>
            <w:tcW w:type="dxa" w:w="8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5</w:t>
            </w:r>
          </w:p>
        </w:tc>
        <w:tc>
          <w:tcPr>
            <w:tcW w:type="dxa" w:w="2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Segmentos</w:t>
            </w:r>
          </w:p>
        </w:tc>
        <w:tc>
          <w:tcPr>
            <w:tcW w:type="dxa" w:w="44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Proponer 2-5 segmentos de targeting con señales, basados en el ICP y los datos de Apollo.</w:t>
            </w:r>
          </w:p>
        </w:tc>
        <w:tc>
          <w:tcPr>
            <w:tcW w:type="dxa" w:w="24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Automática</w:t>
            </w:r>
          </w:p>
        </w:tc>
      </w:tr>
      <w:tr>
        <w:tc>
          <w:tcPr>
            <w:tcW w:type="dxa" w:w="8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6</w:t>
            </w:r>
          </w:p>
        </w:tc>
        <w:tc>
          <w:tcPr>
            <w:tcW w:type="dxa" w:w="2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Sample</w:t>
            </w:r>
          </w:p>
        </w:tc>
        <w:tc>
          <w:tcPr>
            <w:tcW w:type="dxa" w:w="44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Buscar 10 empresas reales + 10 DMs con Apollo (solo búsquedas gratuitas).</w:t>
            </w:r>
          </w:p>
        </w:tc>
        <w:tc>
          <w:tcPr>
            <w:tcW w:type="dxa" w:w="24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Automática</w:t>
            </w:r>
          </w:p>
        </w:tc>
      </w:tr>
      <w:tr>
        <w:tc>
          <w:tcPr>
            <w:tcW w:type="dxa" w:w="8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7</w:t>
            </w:r>
          </w:p>
        </w:tc>
        <w:tc>
          <w:tcPr>
            <w:tcW w:type="dxa" w:w="2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Generar documento</w:t>
            </w:r>
          </w:p>
        </w:tc>
        <w:tc>
          <w:tcPr>
            <w:tcW w:type="dxa" w:w="44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Crear el .docx con branding TopSpin, las 4 secciones y toda la información.</w:t>
            </w:r>
          </w:p>
        </w:tc>
        <w:tc>
          <w:tcPr>
            <w:tcW w:type="dxa" w:w="24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Automática</w:t>
            </w:r>
          </w:p>
        </w:tc>
      </w:tr>
      <w:tr>
        <w:tc>
          <w:tcPr>
            <w:tcW w:type="dxa" w:w="8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8</w:t>
            </w:r>
          </w:p>
        </w:tc>
        <w:tc>
          <w:tcPr>
            <w:tcW w:type="dxa" w:w="22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Presentar + ofrecer siguiente paso</w:t>
            </w:r>
          </w:p>
        </w:tc>
        <w:tc>
          <w:tcPr>
            <w:tcW w:type="dxa" w:w="44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val="false"/>
                <w:bCs w:val="false"/>
                <w:i w:val="false"/>
                <w:iCs w:val="false"/>
                <w:color w:val="3D1A0A"/>
                <w:sz w:val="20"/>
                <w:szCs w:val="20"/>
              </w:rPr>
              <w:t xml:space="preserve">Entregar el documento y preguntar si quiere enviar por email/Slack, subir a Drive, o arrancar el lgaas-discovery.</w:t>
            </w:r>
          </w:p>
        </w:tc>
        <w:tc>
          <w:tcPr>
            <w:tcW w:type="dxa" w:w="24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Consultor decide</w:t>
            </w:r>
          </w:p>
        </w:tc>
      </w:tr>
    </w:tbl>
    <w:p>
      <w:pPr>
        <w:pStyle w:val="Heading1"/>
        <w:spacing w:after="200" w:before="400"/>
      </w:pPr>
      <w:r>
        <w:rPr>
          <w:rFonts w:ascii="Afacad" w:cs="Afacad" w:eastAsia="Afacad" w:hAnsi="Afacad"/>
          <w:b/>
          <w:bCs/>
          <w:i w:val="false"/>
          <w:iCs w:val="false"/>
          <w:color w:val="E45925"/>
          <w:sz w:val="48"/>
          <w:szCs w:val="48"/>
        </w:rPr>
        <w:t xml:space="preserve">5. Herramientas y política de créditos</w:t>
      </w:r>
    </w:p>
    <w:p>
      <w:pPr>
        <w:spacing w:after="100" w:before="0"/>
        <w:jc w:val="both"/>
      </w:pPr>
      <w:r>
        <w:rPr>
          <w:rFonts w:ascii="Afacad" w:cs="Afacad" w:eastAsia="Afacad" w:hAnsi="Afacad"/>
          <w:b w:val="false"/>
          <w:bCs w:val="false"/>
          <w:i w:val="false"/>
          <w:iCs w:val="false"/>
          <w:color w:val="3D1A0A"/>
          <w:sz w:val="22"/>
          <w:szCs w:val="22"/>
        </w:rPr>
        <w:t xml:space="preserve">Este skill opera en modo pre-venta. El deal aún no está cerrado, así que el coste debe ser mínimo. La regla fundamental: solo búsquedas gratuitas de Apollo, cero créditos.</w:t>
      </w:r>
    </w:p>
    <w:tbl>
      <w:tblPr>
        <w:tblW w:type="dxa" w:w="9840"/>
        <w:tblBorders>
          <w:top w:val="single" w:color="auto" w:sz="4"/>
          <w:left w:val="single" w:color="auto" w:sz="4"/>
          <w:bottom w:val="single" w:color="auto" w:sz="4"/>
          <w:right w:val="single" w:color="auto" w:sz="4"/>
          <w:insideH w:val="single" w:color="auto" w:sz="4"/>
          <w:insideV w:val="single" w:color="auto" w:sz="4"/>
        </w:tblBorders>
      </w:tblPr>
      <w:tblGrid>
        <w:gridCol w:w="4000"/>
        <w:gridCol w:w="2400"/>
        <w:gridCol w:w="3440"/>
      </w:tblGrid>
      <w:tr>
        <w:tc>
          <w:tcPr>
            <w:tcW w:type="dxa" w:w="400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Herramienta / API</w:t>
            </w:r>
          </w:p>
        </w:tc>
        <w:tc>
          <w:tcPr>
            <w:tcW w:type="dxa" w:w="240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Coste</w:t>
            </w:r>
          </w:p>
        </w:tc>
        <w:tc>
          <w:tcPr>
            <w:tcW w:type="dxa" w:w="3440"/>
            <w:tcBorders>
              <w:top w:val="single" w:color="F9EBD0" w:sz="1"/>
              <w:left w:val="single" w:color="F9EBD0" w:sz="1"/>
              <w:bottom w:val="single" w:color="F9EBD0" w:sz="1"/>
              <w:right w:val="single" w:color="F9EBD0" w:sz="1"/>
            </w:tcBorders>
            <w:shd w:fill="F9EBD0" w:val="clear"/>
            <w:tcMar>
              <w:top w:type="dxa" w:w="60"/>
              <w:left w:type="dxa" w:w="100"/>
              <w:bottom w:type="dxa" w:w="60"/>
              <w:right w:type="dxa" w:w="100"/>
            </w:tcMar>
          </w:tcPr>
          <w:p>
            <w:pPr>
              <w:jc w:val="left"/>
            </w:pPr>
            <w:r>
              <w:rPr>
                <w:rFonts w:ascii="Afacad" w:cs="Afacad" w:eastAsia="Afacad" w:hAnsi="Afacad"/>
                <w:b/>
                <w:bCs/>
                <w:i w:val="false"/>
                <w:iCs w:val="false"/>
                <w:color w:val="3D1A0A"/>
                <w:sz w:val="20"/>
                <w:szCs w:val="20"/>
              </w:rPr>
              <w:t xml:space="preserve">Uso en este skill</w:t>
            </w:r>
          </w:p>
        </w:tc>
      </w:tr>
      <w:tr>
        <w:tc>
          <w:tcPr>
            <w:tcW w:type="dxa" w:w="40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apollo_mixed_companies_search</w:t>
            </w:r>
          </w:p>
        </w:tc>
        <w:tc>
          <w:tcPr>
            <w:tcW w:type="dxa" w:w="24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Gratis</w:t>
            </w:r>
          </w:p>
        </w:tc>
        <w:tc>
          <w:tcPr>
            <w:tcW w:type="dxa" w:w="34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TAM + Sample de empresas</w:t>
            </w:r>
          </w:p>
        </w:tc>
      </w:tr>
      <w:tr>
        <w:tc>
          <w:tcPr>
            <w:tcW w:type="dxa" w:w="40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apollo_mixed_people_api_search</w:t>
            </w:r>
          </w:p>
        </w:tc>
        <w:tc>
          <w:tcPr>
            <w:tcW w:type="dxa" w:w="24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Gratis</w:t>
            </w:r>
          </w:p>
        </w:tc>
        <w:tc>
          <w:tcPr>
            <w:tcW w:type="dxa" w:w="34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Sample de DMs (sin email)</w:t>
            </w:r>
          </w:p>
        </w:tc>
      </w:tr>
      <w:tr>
        <w:tc>
          <w:tcPr>
            <w:tcW w:type="dxa" w:w="40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WebSearch / WebFetch</w:t>
            </w:r>
          </w:p>
        </w:tc>
        <w:tc>
          <w:tcPr>
            <w:tcW w:type="dxa" w:w="24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Gratis</w:t>
            </w:r>
          </w:p>
        </w:tc>
        <w:tc>
          <w:tcPr>
            <w:tcW w:type="dxa" w:w="34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Research web del cliente + benchmarks sector</w:t>
            </w:r>
          </w:p>
        </w:tc>
      </w:tr>
      <w:tr>
        <w:tc>
          <w:tcPr>
            <w:tcW w:type="dxa" w:w="40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apollo_people_bulk_match</w:t>
            </w:r>
          </w:p>
        </w:tc>
        <w:tc>
          <w:tcPr>
            <w:tcW w:type="dxa" w:w="24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bCs/>
                <w:i w:val="false"/>
                <w:iCs w:val="false"/>
                <w:color w:val="E45925"/>
                <w:sz w:val="20"/>
                <w:szCs w:val="20"/>
              </w:rPr>
              <w:t xml:space="preserve">CRÉDITOS</w:t>
            </w:r>
          </w:p>
        </w:tc>
        <w:tc>
          <w:tcPr>
            <w:tcW w:type="dxa" w:w="34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bCs/>
                <w:i w:val="false"/>
                <w:iCs w:val="false"/>
                <w:color w:val="3D1A0A"/>
                <w:sz w:val="20"/>
                <w:szCs w:val="20"/>
              </w:rPr>
              <w:t xml:space="preserve">PROHIBIDO en este skill. Solo en pipeline real.</w:t>
            </w:r>
          </w:p>
        </w:tc>
      </w:tr>
      <w:tr>
        <w:tc>
          <w:tcPr>
            <w:tcW w:type="dxa" w:w="40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val="false"/>
                <w:bCs w:val="false"/>
                <w:i w:val="false"/>
                <w:iCs w:val="false"/>
                <w:color w:val="3D1A0A"/>
                <w:sz w:val="20"/>
                <w:szCs w:val="20"/>
              </w:rPr>
              <w:t xml:space="preserve">apollo_organizations_enrich</w:t>
            </w:r>
          </w:p>
        </w:tc>
        <w:tc>
          <w:tcPr>
            <w:tcW w:type="dxa" w:w="240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left"/>
            </w:pPr>
            <w:r>
              <w:rPr>
                <w:rFonts w:ascii="Afacad" w:cs="Afacad" w:eastAsia="Afacad" w:hAnsi="Afacad"/>
                <w:b/>
                <w:bCs/>
                <w:i w:val="false"/>
                <w:iCs w:val="false"/>
                <w:color w:val="E45925"/>
                <w:sz w:val="20"/>
                <w:szCs w:val="20"/>
              </w:rPr>
              <w:t xml:space="preserve">CRÉDITOS</w:t>
            </w:r>
          </w:p>
        </w:tc>
        <w:tc>
          <w:tcPr>
            <w:tcW w:type="dxa" w:w="3440"/>
            <w:tcBorders>
              <w:top w:val="single" w:color="F9EBD0" w:sz="1"/>
              <w:left w:val="single" w:color="F9EBD0" w:sz="1"/>
              <w:bottom w:val="single" w:color="F9EBD0" w:sz="1"/>
              <w:right w:val="single" w:color="F9EBD0" w:sz="1"/>
            </w:tcBorders>
            <w:tcMar>
              <w:top w:type="dxa" w:w="60"/>
              <w:left w:type="dxa" w:w="100"/>
              <w:bottom w:type="dxa" w:w="60"/>
              <w:right w:type="dxa" w:w="100"/>
            </w:tcMar>
          </w:tcPr>
          <w:p>
            <w:pPr>
              <w:jc w:val="both"/>
            </w:pPr>
            <w:r>
              <w:rPr>
                <w:rFonts w:ascii="Afacad" w:cs="Afacad" w:eastAsia="Afacad" w:hAnsi="Afacad"/>
                <w:b/>
                <w:bCs/>
                <w:i w:val="false"/>
                <w:iCs w:val="false"/>
                <w:color w:val="3D1A0A"/>
                <w:sz w:val="20"/>
                <w:szCs w:val="20"/>
              </w:rPr>
              <w:t xml:space="preserve">PROHIBIDO en este skill.</w:t>
            </w:r>
          </w:p>
        </w:tc>
      </w:tr>
    </w:tbl>
    <w:p>
      <w:pPr>
        <w:pStyle w:val="Heading1"/>
        <w:spacing w:after="200" w:before="400"/>
      </w:pPr>
      <w:r>
        <w:rPr>
          <w:rFonts w:ascii="Afacad" w:cs="Afacad" w:eastAsia="Afacad" w:hAnsi="Afacad"/>
          <w:b/>
          <w:bCs/>
          <w:i w:val="false"/>
          <w:iCs w:val="false"/>
          <w:color w:val="E45925"/>
          <w:sz w:val="48"/>
          <w:szCs w:val="48"/>
        </w:rPr>
        <w:t xml:space="preserve">6. Branding y estilo del documento de output</w:t>
      </w:r>
    </w:p>
    <w:p>
      <w:pPr>
        <w:spacing w:after="100" w:before="0"/>
        <w:jc w:val="both"/>
      </w:pPr>
      <w:r>
        <w:rPr>
          <w:rFonts w:ascii="Afacad" w:cs="Afacad" w:eastAsia="Afacad" w:hAnsi="Afacad"/>
          <w:b w:val="false"/>
          <w:bCs w:val="false"/>
          <w:i w:val="false"/>
          <w:iCs w:val="false"/>
          <w:color w:val="3D1A0A"/>
          <w:sz w:val="22"/>
          <w:szCs w:val="22"/>
        </w:rPr>
        <w:t xml:space="preserve">El documento que genera el skill debe usar el branding TopSpin completo. Esto significa: skill topspin-branding activo, fuente Afacad, paleta de colores naranja, logo en header, footer con referencia, texto justificado, y estilo de redacción humano (nunca lenguaje de IA). El AI Developer debe integrar el skill topspin-branding como dependencia de este skill.</w:t>
      </w:r>
    </w:p>
    <w:p>
      <w:pPr>
        <w:pStyle w:val="Heading1"/>
        <w:spacing w:after="200" w:before="400"/>
      </w:pPr>
      <w:r>
        <w:rPr>
          <w:rFonts w:ascii="Afacad" w:cs="Afacad" w:eastAsia="Afacad" w:hAnsi="Afacad"/>
          <w:b/>
          <w:bCs/>
          <w:i w:val="false"/>
          <w:iCs w:val="false"/>
          <w:color w:val="E45925"/>
          <w:sz w:val="48"/>
          <w:szCs w:val="48"/>
        </w:rPr>
        <w:t xml:space="preserve">7. Conexión con el pipeline LGaaS</w:t>
      </w:r>
    </w:p>
    <w:p>
      <w:pPr>
        <w:spacing w:after="100" w:before="0"/>
        <w:jc w:val="both"/>
      </w:pPr>
      <w:r>
        <w:rPr>
          <w:rFonts w:ascii="Afacad" w:cs="Afacad" w:eastAsia="Afacad" w:hAnsi="Afacad"/>
          <w:b w:val="false"/>
          <w:bCs w:val="false"/>
          <w:i w:val="false"/>
          <w:iCs w:val="false"/>
          <w:color w:val="3D1A0A"/>
          <w:sz w:val="22"/>
          <w:szCs w:val="22"/>
        </w:rPr>
        <w:t xml:space="preserve">Este skill es el paso 0 del ciclo de vida de un proyecto LGaaS. La secuencia completa es:</w:t>
      </w:r>
    </w:p>
    <w:p>
      <w:pPr>
        <w:pStyle w:val="ListParagraph"/>
        <w:numPr>
          <w:ilvl w:val="0"/>
          <w:numId w:val="4"/>
        </w:numPr>
        <w:spacing w:after="60" w:before="0"/>
      </w:pPr>
      <w:r>
        <w:rPr>
          <w:rFonts w:ascii="Afacad" w:cs="Afacad" w:eastAsia="Afacad" w:hAnsi="Afacad"/>
          <w:b/>
          <w:bCs/>
          <w:i w:val="false"/>
          <w:iCs w:val="false"/>
          <w:color w:val="3D1A0A"/>
          <w:sz w:val="22"/>
          <w:szCs w:val="22"/>
        </w:rPr>
        <w:t xml:space="preserve">Deals Project Sizing (este skill)</w:t>
      </w:r>
      <w:r>
        <w:rPr>
          <w:rFonts w:ascii="Afacad" w:cs="Afacad" w:eastAsia="Afacad" w:hAnsi="Afacad"/>
          <w:b w:val="false"/>
          <w:bCs w:val="false"/>
          <w:i w:val="false"/>
          <w:iCs w:val="false"/>
          <w:color w:val="3D1A0A"/>
          <w:sz w:val="22"/>
          <w:szCs w:val="22"/>
        </w:rPr>
        <w:t xml:space="preserve"> — dimensionar, pricing, validar viabilidad.</w:t>
      </w:r>
    </w:p>
    <w:p>
      <w:pPr>
        <w:pStyle w:val="ListParagraph"/>
        <w:numPr>
          <w:ilvl w:val="0"/>
          <w:numId w:val="4"/>
        </w:numPr>
        <w:spacing w:after="60" w:before="0"/>
      </w:pPr>
      <w:r>
        <w:rPr>
          <w:rFonts w:ascii="Afacad" w:cs="Afacad" w:eastAsia="Afacad" w:hAnsi="Afacad"/>
          <w:b/>
          <w:bCs/>
          <w:i w:val="false"/>
          <w:iCs w:val="false"/>
          <w:color w:val="3D1A0A"/>
          <w:sz w:val="22"/>
          <w:szCs w:val="22"/>
        </w:rPr>
        <w:t xml:space="preserve">lgaas-discovery</w:t>
      </w:r>
      <w:r>
        <w:rPr>
          <w:rFonts w:ascii="Afacad" w:cs="Afacad" w:eastAsia="Afacad" w:hAnsi="Afacad"/>
          <w:b w:val="false"/>
          <w:bCs w:val="false"/>
          <w:i w:val="false"/>
          <w:iCs w:val="false"/>
          <w:color w:val="3D1A0A"/>
          <w:sz w:val="22"/>
          <w:szCs w:val="22"/>
        </w:rPr>
        <w:t xml:space="preserve"> — rellenar el Targeting Framework completo con research profundo y preguntas al consultor.</w:t>
      </w:r>
    </w:p>
    <w:p>
      <w:pPr>
        <w:pStyle w:val="ListParagraph"/>
        <w:numPr>
          <w:ilvl w:val="0"/>
          <w:numId w:val="4"/>
        </w:numPr>
        <w:spacing w:after="80" w:before="0"/>
      </w:pPr>
      <w:r>
        <w:rPr>
          <w:rFonts w:ascii="Afacad" w:cs="Afacad" w:eastAsia="Afacad" w:hAnsi="Afacad"/>
          <w:b/>
          <w:bCs/>
          <w:i w:val="false"/>
          <w:iCs w:val="false"/>
          <w:color w:val="3D1A0A"/>
          <w:sz w:val="22"/>
          <w:szCs w:val="22"/>
        </w:rPr>
        <w:t xml:space="preserve">lgaas-database-generator</w:t>
      </w:r>
      <w:r>
        <w:rPr>
          <w:rFonts w:ascii="Afacad" w:cs="Afacad" w:eastAsia="Afacad" w:hAnsi="Afacad"/>
          <w:b w:val="false"/>
          <w:bCs w:val="false"/>
          <w:i w:val="false"/>
          <w:iCs w:val="false"/>
          <w:color w:val="3D1A0A"/>
          <w:sz w:val="22"/>
          <w:szCs w:val="22"/>
        </w:rPr>
        <w:t xml:space="preserve"> — ejecutar el pipeline completo de generación de leads, scoring, copywriting y exportación a Lemlist.</w:t>
      </w:r>
    </w:p>
    <w:p>
      <w:pPr>
        <w:spacing w:after="100" w:before="80"/>
        <w:jc w:val="both"/>
      </w:pPr>
      <w:r>
        <w:rPr>
          <w:rFonts w:ascii="Afacad" w:cs="Afacad" w:eastAsia="Afacad" w:hAnsi="Afacad"/>
          <w:b w:val="false"/>
          <w:bCs w:val="false"/>
          <w:i w:val="false"/>
          <w:iCs w:val="false"/>
          <w:color w:val="3D1A0A"/>
          <w:sz w:val="22"/>
          <w:szCs w:val="22"/>
        </w:rPr>
        <w:t xml:space="preserve">Cuando el consultor cierra el deal y quiere arrancar, el skill debe ofrecer la transición: "El proyecto está dimensionado. Quieres que arranque el discovery para rellenar el Targeting Framework?" Esto activa el skill lgaas-discovery, que tomará las notas y outputs de este sizing como input inicial.</w:t>
      </w:r>
    </w:p>
    <w:p>
      <w:pPr>
        <w:pStyle w:val="Heading1"/>
        <w:spacing w:after="200" w:before="400"/>
      </w:pPr>
      <w:r>
        <w:rPr>
          <w:rFonts w:ascii="Afacad" w:cs="Afacad" w:eastAsia="Afacad" w:hAnsi="Afacad"/>
          <w:b/>
          <w:bCs/>
          <w:i w:val="false"/>
          <w:iCs w:val="false"/>
          <w:color w:val="E45925"/>
          <w:sz w:val="48"/>
          <w:szCs w:val="48"/>
        </w:rPr>
        <w:t xml:space="preserve">8. Notas para el AI Developer</w:t>
      </w:r>
    </w:p>
    <w:p>
      <w:pPr>
        <w:pStyle w:val="ListParagraph"/>
        <w:numPr>
          <w:ilvl w:val="0"/>
          <w:numId w:val="3"/>
        </w:numPr>
        <w:spacing w:after="60" w:before="0"/>
      </w:pPr>
      <w:r>
        <w:rPr>
          <w:rFonts w:ascii="Afacad" w:cs="Afacad" w:eastAsia="Afacad" w:hAnsi="Afacad"/>
          <w:b w:val="false"/>
          <w:bCs w:val="false"/>
          <w:i w:val="false"/>
          <w:iCs w:val="false"/>
          <w:color w:val="3D1A0A"/>
          <w:sz w:val="22"/>
          <w:szCs w:val="22"/>
        </w:rPr>
        <w:t xml:space="preserve">El skill debe funcionar de forma autónoma con mínima interacción. Máximo una ronda de preguntas al consultor si faltan datos críticos.</w:t>
      </w:r>
    </w:p>
    <w:p>
      <w:pPr>
        <w:pStyle w:val="ListParagraph"/>
        <w:numPr>
          <w:ilvl w:val="0"/>
          <w:numId w:val="3"/>
        </w:numPr>
        <w:spacing w:after="60" w:before="0"/>
      </w:pPr>
      <w:r>
        <w:rPr>
          <w:rFonts w:ascii="Afacad" w:cs="Afacad" w:eastAsia="Afacad" w:hAnsi="Afacad"/>
          <w:b w:val="false"/>
          <w:bCs w:val="false"/>
          <w:i w:val="false"/>
          <w:iCs w:val="false"/>
          <w:color w:val="3D1A0A"/>
          <w:sz w:val="22"/>
          <w:szCs w:val="22"/>
        </w:rPr>
        <w:t xml:space="preserve">Todo el research y cálculo se hace con datos gratuitos. Cero créditos de Apollo o Clay. Si algún endpoint requiere créditos, no usarlo en este skill.</w:t>
      </w:r>
    </w:p>
    <w:p>
      <w:pPr>
        <w:pStyle w:val="ListParagraph"/>
        <w:numPr>
          <w:ilvl w:val="0"/>
          <w:numId w:val="3"/>
        </w:numPr>
        <w:spacing w:after="60" w:before="0"/>
      </w:pPr>
      <w:r>
        <w:rPr>
          <w:rFonts w:ascii="Afacad" w:cs="Afacad" w:eastAsia="Afacad" w:hAnsi="Afacad"/>
          <w:b w:val="false"/>
          <w:bCs w:val="false"/>
          <w:i w:val="false"/>
          <w:iCs w:val="false"/>
          <w:color w:val="3D1A0A"/>
          <w:sz w:val="22"/>
          <w:szCs w:val="22"/>
        </w:rPr>
        <w:t xml:space="preserve">El output debe ser un documento .docx descargable con branding TopSpin. No un mensaje de texto en el chat. El consultor necesita poder enviarlo o presentarlo.</w:t>
      </w:r>
    </w:p>
    <w:p>
      <w:pPr>
        <w:pStyle w:val="ListParagraph"/>
        <w:numPr>
          <w:ilvl w:val="0"/>
          <w:numId w:val="3"/>
        </w:numPr>
        <w:spacing w:after="60" w:before="0"/>
      </w:pPr>
      <w:r>
        <w:rPr>
          <w:rFonts w:ascii="Afacad" w:cs="Afacad" w:eastAsia="Afacad" w:hAnsi="Afacad"/>
          <w:b w:val="false"/>
          <w:bCs w:val="false"/>
          <w:i w:val="false"/>
          <w:iCs w:val="false"/>
          <w:color w:val="3D1A0A"/>
          <w:sz w:val="22"/>
          <w:szCs w:val="22"/>
        </w:rPr>
        <w:t xml:space="preserve">La sección de pricing es la más crítica. El consultor necesita llegar a la reunión con un precio fundamentado. Si falta el AOV, el skill no puede continuar sin él: es obligatorio preguntarlo.</w:t>
      </w:r>
    </w:p>
    <w:p>
      <w:pPr>
        <w:pStyle w:val="ListParagraph"/>
        <w:numPr>
          <w:ilvl w:val="0"/>
          <w:numId w:val="3"/>
        </w:numPr>
        <w:spacing w:after="60" w:before="0"/>
      </w:pPr>
      <w:r>
        <w:rPr>
          <w:rFonts w:ascii="Afacad" w:cs="Afacad" w:eastAsia="Afacad" w:hAnsi="Afacad"/>
          <w:b w:val="false"/>
          <w:bCs w:val="false"/>
          <w:i w:val="false"/>
          <w:iCs w:val="false"/>
          <w:color w:val="3D1A0A"/>
          <w:sz w:val="22"/>
          <w:szCs w:val="22"/>
        </w:rPr>
        <w:t xml:space="preserve">Las señales de los segmentos deben ser realistas y accionables, no genéricas. "Empresa que está contratando SDRs" es buena. "Empresa en crecimiento" es demasiado vaga.</w:t>
      </w:r>
    </w:p>
    <w:p>
      <w:pPr>
        <w:pStyle w:val="ListParagraph"/>
        <w:numPr>
          <w:ilvl w:val="0"/>
          <w:numId w:val="3"/>
        </w:numPr>
        <w:spacing w:after="60" w:before="0"/>
      </w:pPr>
      <w:r>
        <w:rPr>
          <w:rFonts w:ascii="Afacad" w:cs="Afacad" w:eastAsia="Afacad" w:hAnsi="Afacad"/>
          <w:b w:val="false"/>
          <w:bCs w:val="false"/>
          <w:i w:val="false"/>
          <w:iCs w:val="false"/>
          <w:color w:val="3D1A0A"/>
          <w:sz w:val="22"/>
          <w:szCs w:val="22"/>
        </w:rPr>
        <w:t xml:space="preserve">El sample de empresas y DMs es la prueba de concepto. El consultor se lo enseña al cliente para demostrar que TopSpin puede encontrar su target. Debe ser representativo y de calidad.</w:t>
      </w:r>
    </w:p>
    <w:p>
      <w:pPr>
        <w:pStyle w:val="ListParagraph"/>
        <w:numPr>
          <w:ilvl w:val="0"/>
          <w:numId w:val="3"/>
        </w:numPr>
        <w:spacing w:after="80" w:before="0"/>
      </w:pPr>
      <w:r>
        <w:rPr>
          <w:rFonts w:ascii="Afacad" w:cs="Afacad" w:eastAsia="Afacad" w:hAnsi="Afacad"/>
          <w:b w:val="false"/>
          <w:bCs w:val="false"/>
          <w:i w:val="false"/>
          <w:iCs w:val="false"/>
          <w:color w:val="3D1A0A"/>
          <w:sz w:val="22"/>
          <w:szCs w:val="22"/>
        </w:rPr>
        <w:t xml:space="preserve">El skill debe usar el topspin-branding skill como dependencia para el documento de output. No reinventar el branding desde cero.</w:t>
      </w:r>
    </w:p>
    <w:p>
      <w:pPr>
        <w:pBdr>
          <w:top w:val="single" w:color="F9EBD0" w:sz="2" w:space="12"/>
        </w:pBdr>
        <w:spacing w:after="0" w:before="400"/>
        <w:jc w:val="center"/>
      </w:pPr>
    </w:p>
    <w:p>
      <w:pPr>
        <w:spacing w:after="0" w:before="120"/>
        <w:jc w:val="center"/>
      </w:pPr>
      <w:r>
        <w:rPr>
          <w:rFonts w:ascii="Afacad" w:cs="Afacad" w:eastAsia="Afacad" w:hAnsi="Afacad"/>
          <w:b w:val="false"/>
          <w:bCs w:val="false"/>
          <w:i/>
          <w:iCs/>
          <w:color w:val="9C3A18"/>
          <w:sz w:val="20"/>
          <w:szCs w:val="20"/>
        </w:rPr>
        <w:t xml:space="preserve">Documento preparado por el equipo de negocio de TopSpin.</w:t>
      </w:r>
    </w:p>
    <w:p>
      <w:pPr>
        <w:spacing w:after="0" w:before="40"/>
        <w:jc w:val="center"/>
      </w:pPr>
      <w:r>
        <w:rPr>
          <w:rFonts w:ascii="Afacad" w:cs="Afacad" w:eastAsia="Afacad" w:hAnsi="Afacad"/>
          <w:b w:val="false"/>
          <w:bCs w:val="false"/>
          <w:i/>
          <w:iCs/>
          <w:color w:val="9C3A18"/>
          <w:sz w:val="20"/>
          <w:szCs w:val="20"/>
        </w:rPr>
        <w:t xml:space="preserve">Cualquier duda, hablarlo directamente con el consultor responsable.</w:t>
      </w:r>
    </w:p>
    <w:sectPr>
      <w:headerReference w:type="default" r:id="rId11"/>
      <w:footerReference w:type="default" r:id="rId12"/>
      <w:pgSz w:w="12240" w:h="15840" w:orient="portrait"/>
      <w:pgMar w:top="1000" w:right="1200" w:bottom="900" w:left="1200" w:header="425" w:footer="425"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9EBD0" w:sz="1" w:space="4"/>
      </w:pBdr>
      <w:tabs>
        <w:tab w:val="right" w:pos="9840"/>
      </w:tabs>
    </w:pPr>
    <w:r>
      <w:rPr>
        <w:rFonts w:ascii="Afacad" w:cs="Afacad" w:eastAsia="Afacad" w:hAnsi="Afacad"/>
        <w:b w:val="false"/>
        <w:bCs w:val="false"/>
        <w:i w:val="false"/>
        <w:iCs w:val="false"/>
        <w:color w:val="F0A97A"/>
        <w:sz w:val="15"/>
        <w:szCs w:val="15"/>
      </w:rPr>
      <w:t xml:space="preserve">TopSpin Revenue Operations · topspin.es</w:t>
    </w:r>
    <w:r>
      <w:rPr>
        <w:rFonts w:ascii="Afacad" w:cs="Afacad" w:eastAsia="Afacad" w:hAnsi="Afacad"/>
      </w:rPr>
      <w:t xml:space="preserve">	</w:t>
    </w:r>
    <w:r>
      <w:rPr>
        <w:rFonts w:ascii="Afacad" w:cs="Afacad" w:eastAsia="Afacad" w:hAnsi="Afacad"/>
        <w:b w:val="false"/>
        <w:bCs w:val="false"/>
        <w:i w:val="false"/>
        <w:iCs w:val="false"/>
        <w:color w:val="F0A97A"/>
        <w:sz w:val="15"/>
        <w:szCs w:val="15"/>
      </w:rPr>
      <w:t xml:space="preserve">Especificación de Skill — Deals Project Sizing</w:t>
    </w: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F9EBD0" w:sz="1" w:space="4"/>
      </w:pBdr>
      <w:tabs>
        <w:tab w:val="right" w:pos="9840"/>
      </w:tabs>
    </w:pPr>
    <w:r>
      <w:rPr>
        <w:rFonts w:ascii="Afacad" w:cs="Afacad" w:eastAsia="Afacad" w:hAnsi="Afacad"/>
        <w:b w:val="false"/>
        <w:bCs w:val="false"/>
        <w:i w:val="false"/>
        <w:iCs w:val="false"/>
        <w:color w:val="F0A97A"/>
        <w:sz w:val="15"/>
        <w:szCs w:val="15"/>
      </w:rPr>
      <w:t xml:space="preserve">TopSpin Revenue Operations · topspin.es</w:t>
    </w:r>
    <w:r>
      <w:rPr>
        <w:rFonts w:ascii="Afacad" w:cs="Afacad" w:eastAsia="Afacad" w:hAnsi="Afacad"/>
      </w:rPr>
      <w:t xml:space="preserve">	</w:t>
    </w:r>
    <w:r>
      <w:rPr>
        <w:rFonts w:ascii="Afacad" w:cs="Afacad" w:eastAsia="Afacad" w:hAnsi="Afacad"/>
        <w:b w:val="false"/>
        <w:bCs w:val="false"/>
        <w:i w:val="false"/>
        <w:iCs w:val="false"/>
        <w:color w:val="F0A97A"/>
        <w:sz w:val="15"/>
        <w:szCs w:val="15"/>
      </w:rPr>
      <w:t xml:space="preserve">Especificación de Skill — Deals Project Sizing</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85725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314325"/>
                  </a:xfrm>
                  <a:prstGeom prst="rect">
                    <a:avLst/>
                  </a:prstGeom>
                </pic:spPr>
              </pic:pic>
            </a:graphicData>
          </a:graphic>
        </wp:inline>
      </w:drawing>
    </w: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right"/>
    </w:pPr>
    <w:r>
      <w:drawing>
        <wp:inline distT="0" distB="0" distL="0" distR="0">
          <wp:extent cx="857250" cy="31432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0" cstate="none"/>
                  <a:srcRect/>
                  <a:stretch>
                    <a:fillRect/>
                  </a:stretch>
                </pic:blipFill>
                <pic:spPr bwMode="auto">
                  <a:xfrm>
                    <a:off x="0" y="0"/>
                    <a:ext cx="857250" cy="314325"/>
                  </a:xfrm>
                  <a:prstGeom prst="rect">
                    <a:avLst/>
                  </a:prstGeom>
                </pic:spPr>
              </pic:pic>
            </a:graphicData>
          </a:graphic>
        </wp:inline>
      </w:drawing>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abstractNum>
  <w:abstractNum w:abstractNumId="3" w15:restartNumberingAfterBreak="0">
    <w:multiLevelType w:val="hybridMultilevel"/>
    <w:lvl w:ilvl="0" w15:tentative="1">
      <w:start w:val="1"/>
      <w:numFmt w:val="decimal"/>
      <w:lvlText w:val="%1."/>
      <w:lvlJc w:val="left"/>
      <w:pPr>
        <w:ind w:left="72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3"/>
    <w:lvlOverride w:ilvl="0">
      <w:startOverride w:val="1"/>
    </w:lvlOverride>
  </w:num>
  <w:num w:numId="3">
    <w:abstractNumId w:val="2"/>
    <w:lvlOverride w:ilvl="0">
      <w:startOverride w:val="1"/>
    </w:lvlOverride>
  </w:num>
  <w:num w:numId="4">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facad" w:cs="Afacad" w:eastAsia="Afacad" w:hAnsi="Afacad"/>
        <w:color w:val="3D1A0A"/>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facad" w:cs="Afacad" w:eastAsia="Afacad" w:hAnsi="Afacad"/>
      <w:b/>
      <w:bCs/>
      <w:color w:val="E45925"/>
      <w:sz w:val="48"/>
      <w:szCs w:val="48"/>
    </w:rPr>
  </w:style>
  <w:style w:type="paragraph" w:styleId="Heading2">
    <w:name w:val="Heading 2"/>
    <w:basedOn w:val="Normal"/>
    <w:next w:val="Normal"/>
    <w:qFormat/>
    <w:pPr>
      <w:spacing w:after="160" w:before="280"/>
      <w:outlineLvl w:val="1"/>
    </w:pPr>
    <w:rPr>
      <w:rFonts w:ascii="Afacad" w:cs="Afacad" w:eastAsia="Afacad" w:hAnsi="Afacad"/>
      <w:b/>
      <w:bCs/>
      <w:color w:val="E45925"/>
      <w:sz w:val="32"/>
      <w:szCs w:val="32"/>
    </w:rPr>
  </w:style>
  <w:style w:type="paragraph" w:styleId="Heading3">
    <w:name w:val="Heading 3"/>
    <w:basedOn w:val="Normal"/>
    <w:next w:val="Normal"/>
    <w:qFormat/>
    <w:pPr>
      <w:spacing w:after="120" w:before="200"/>
      <w:outlineLvl w:val="2"/>
    </w:pPr>
    <w:rPr>
      <w:rFonts w:ascii="Afacad" w:cs="Afacad" w:eastAsia="Afacad" w:hAnsi="Afacad"/>
      <w:b/>
      <w:bCs/>
      <w:color w:val="C24A1F"/>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header" Target="header2.xml"/><Relationship Id="rId9" Type="http://schemas.openxmlformats.org/officeDocument/2006/relationships/footer" Target="footer1.xml"/><Relationship Id="rId10" Type="http://schemas.openxmlformats.org/officeDocument/2006/relationships/footer" Target="footer2.xml"/><Relationship Id="rId11" Type="http://schemas.openxmlformats.org/officeDocument/2006/relationships/header" Target="header3.xml"/><Relationship Id="rId12" Type="http://schemas.openxmlformats.org/officeDocument/2006/relationships/footer" Target="footer3.xml"/><Relationship Id="rId13" Type="http://schemas.openxmlformats.org/officeDocument/2006/relationships/image" Target="media/800b027a5377ba618c738a725abc067e65e6f026.png"/><Relationship Id="rId14"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er2.xml.rels><?xml version="1.0" encoding="UTF-8"?><Relationships xmlns="http://schemas.openxmlformats.org/package/2006/relationships"/>
</file>

<file path=word/_rels/footer3.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Relationship Id="rId0" Type="http://schemas.openxmlformats.org/officeDocument/2006/relationships/image" Target="media/800b027a5377ba618c738a725abc067e65e6f026.png"/></Relationships>
</file>

<file path=word/_rels/header2.xml.rels><?xml version="1.0" encoding="UTF-8"?><Relationships xmlns="http://schemas.openxmlformats.org/package/2006/relationships"/>
</file>

<file path=word/_rels/header3.xml.rels><?xml version="1.0" encoding="UTF-8"?><Relationships xmlns="http://schemas.openxmlformats.org/package/2006/relationships"><Relationship Id="rId0" Type="http://schemas.openxmlformats.org/officeDocument/2006/relationships/image" Target="media/800b027a5377ba618c738a725abc067e65e6f026.png"/></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2026-03-16T18:40:07.397Z</dcterms:created>
  <dcterms:modified xsi:type="dcterms:W3CDTF">2026-03-16T18:40:07.398Z</dcterms:modified>
</cp:coreProperties>
</file>

<file path=docProps/custom.xml><?xml version="1.0" encoding="utf-8"?>
<Properties xmlns="http://schemas.openxmlformats.org/officeDocument/2006/custom-properties" xmlns:vt="http://schemas.openxmlformats.org/officeDocument/2006/docPropsVTypes"/>
</file>