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/>
        </w:rPr>
        <w:t>Q3 季度工作计划</w:t>
      </w:r>
    </w:p>
    <w:p>
      <w:pPr>
        <w:keepNext/>
        <w:spacing w:after="60"/>
      </w:pPr>
      <w:r>
        <w:rPr>
          <w:rFonts w:ascii="Arial" w:hAnsi="Arial" w:eastAsia="Heiti SC"/>
          <w:b/>
          <w:sz w:val="19"/>
        </w:rPr>
        <w:t>模拟说明：以下品牌、业务数据、人员配置及预算均为虚构示例。</w:t>
      </w:r>
    </w:p>
    <w:p>
      <w:pPr>
        <w:keepNext/>
        <w:spacing w:after="60"/>
      </w:pPr>
      <w:r>
        <w:rPr>
          <w:rFonts w:ascii="Arial" w:hAnsi="Arial" w:eastAsia="Heiti SC"/>
          <w:sz w:val="19"/>
        </w:rPr>
        <w:t>行业：电商零售——家居生活用品</w:t>
      </w:r>
    </w:p>
    <w:p>
      <w:pPr>
        <w:keepNext/>
        <w:spacing w:after="60"/>
      </w:pPr>
      <w:r>
        <w:rPr>
          <w:rFonts w:ascii="Arial" w:hAnsi="Arial" w:eastAsia="Heiti SC"/>
          <w:sz w:val="19"/>
        </w:rPr>
        <w:t>项目：悦家生活旗舰店 Q3 经营提升</w:t>
      </w:r>
    </w:p>
    <w:p>
      <w:pPr>
        <w:keepNext/>
        <w:spacing w:after="60"/>
      </w:pPr>
      <w:r>
        <w:rPr>
          <w:rFonts w:ascii="Arial" w:hAnsi="Arial" w:eastAsia="Heiti SC"/>
          <w:sz w:val="19"/>
        </w:rPr>
        <w:t>计划周期：7 月 1 日—9 月 30 日</w:t>
      </w:r>
    </w:p>
    <w:p>
      <w:pPr>
        <w:pStyle w:val="Heading1"/>
      </w:pPr>
      <w:r>
        <w:rPr>
          <w:rFonts w:ascii="Arial" w:hAnsi="Arial" w:eastAsia="Heiti SC"/>
        </w:rPr>
        <w:t>一、项目背景</w:t>
      </w:r>
    </w:p>
    <w:p>
      <w:r>
        <w:rPr>
          <w:rFonts w:ascii="Arial" w:hAnsi="Arial" w:eastAsia="Heiti SC"/>
        </w:rPr>
        <w:t>“悦家生活”是一家主营收纳用品、厨房用品和家居清洁工具的线上店铺，目前在售商品 80 款。</w:t>
      </w:r>
    </w:p>
    <w:p>
      <w:r>
        <w:rPr>
          <w:rFonts w:ascii="Arial" w:hAnsi="Arial" w:eastAsia="Heiti SC"/>
        </w:rPr>
        <w:t>模拟 Q2 经营数据显示，店铺季度访客数为 40 万，支付订单数为 1 万单，客单价为 180 元，支付成交额为 180 万元。当前主要问题包括：</w:t>
      </w:r>
    </w:p>
    <w:p>
      <w:pPr>
        <w:pStyle w:val="ListBullet"/>
      </w:pPr>
      <w:r>
        <w:rPr>
          <w:rFonts w:ascii="Arial" w:hAnsi="Arial" w:eastAsia="Heiti SC"/>
        </w:rPr>
        <w:t>主推商品不够集中，推广资源分散。</w:t>
      </w:r>
    </w:p>
    <w:p>
      <w:pPr>
        <w:pStyle w:val="ListBullet"/>
      </w:pPr>
      <w:r>
        <w:rPr>
          <w:rFonts w:ascii="Arial" w:hAnsi="Arial" w:eastAsia="Heiti SC"/>
        </w:rPr>
        <w:t>商品详情页缺少使用场景，购买转化率偏低。</w:t>
      </w:r>
    </w:p>
    <w:p>
      <w:pPr>
        <w:pStyle w:val="ListBullet"/>
      </w:pPr>
      <w:r>
        <w:rPr>
          <w:rFonts w:ascii="Arial" w:hAnsi="Arial" w:eastAsia="Heiti SC"/>
        </w:rPr>
        <w:t>关联商品推荐不足，客单价提升空间较大。</w:t>
      </w:r>
    </w:p>
    <w:p>
      <w:pPr>
        <w:pStyle w:val="ListBullet"/>
      </w:pPr>
      <w:r>
        <w:rPr>
          <w:rFonts w:ascii="Arial" w:hAnsi="Arial" w:eastAsia="Heiti SC"/>
        </w:rPr>
        <w:t>畅销商品偶有缺货，部分滞销商品占用库存。</w:t>
      </w:r>
    </w:p>
    <w:p>
      <w:r>
        <w:rPr>
          <w:rFonts w:ascii="Arial" w:hAnsi="Arial" w:eastAsia="Heiti SC"/>
        </w:rPr>
        <w:t>Q3 将围绕商品优化、流量获取、转化提升和库存管理四项工作展开，推动店铺销售增长。</w:t>
      </w:r>
    </w:p>
    <w:p>
      <w:pPr>
        <w:pStyle w:val="Heading1"/>
      </w:pPr>
      <w:r>
        <w:rPr>
          <w:rFonts w:ascii="Arial" w:hAnsi="Arial" w:eastAsia="Heiti SC"/>
        </w:rPr>
        <w:t>二、目标与范围</w:t>
      </w:r>
    </w:p>
    <w:p>
      <w:pPr>
        <w:pStyle w:val="Heading2"/>
      </w:pPr>
      <w:r>
        <w:rPr>
          <w:rFonts w:ascii="Arial" w:hAnsi="Arial" w:eastAsia="Heiti SC"/>
          <w:b/>
        </w:rPr>
        <w:t>季度经营目标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95"/>
        <w:gridCol w:w="2778"/>
        <w:gridCol w:w="2778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指标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Q2 模拟基线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Q3 目标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店铺访客数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40 万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50 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支付转化率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2.5%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3.0%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支付订单数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1 万单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1.5 万单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客单价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180 元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200 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支付成交额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180 万元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300 万元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48 小时内发货率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92%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≥98%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Arial" w:hAnsi="Arial" w:eastAsia="Heiti SC"/>
        </w:rPr>
        <w:t>测算关系：</w:t>
      </w:r>
      <w:r>
        <w:rPr>
          <w:rFonts w:ascii="Arial" w:hAnsi="Arial" w:eastAsia="Heiti SC"/>
          <w:b/>
        </w:rPr>
        <w:t>50 万访客 × 3% 支付转化率 × 200 元客单价＝300 万元支付成交额。</w:t>
      </w:r>
      <w:r>
        <w:rPr>
          <w:rFonts w:ascii="Arial" w:hAnsi="Arial" w:eastAsia="Heiti SC"/>
        </w:rPr>
        <w:t>成交额按支付口径统计，未扣除后续退款。</w:t>
      </w:r>
    </w:p>
    <w:p>
      <w:pPr>
        <w:pStyle w:val="Heading2"/>
      </w:pPr>
      <w:r>
        <w:rPr>
          <w:rFonts w:ascii="Arial" w:hAnsi="Arial" w:eastAsia="Heiti SC"/>
          <w:b/>
        </w:rPr>
        <w:t>本季度重点工作</w:t>
      </w:r>
    </w:p>
    <w:p>
      <w:pPr>
        <w:pStyle w:val="ListNumber"/>
      </w:pPr>
      <w:r>
        <w:rPr>
          <w:rFonts w:ascii="Arial" w:hAnsi="Arial" w:eastAsia="Heiti SC"/>
          <w:b/>
        </w:rPr>
        <w:t>商品优化：</w:t>
      </w:r>
      <w:r>
        <w:rPr>
          <w:rFonts w:ascii="Arial" w:hAnsi="Arial" w:eastAsia="Heiti SC"/>
        </w:rPr>
        <w:t>选择 10 款重点商品，完成主图、详情页和卖点更新；推出 5 款新品及 3 套组合装。</w:t>
      </w:r>
    </w:p>
    <w:p>
      <w:pPr>
        <w:pStyle w:val="ListNumber"/>
      </w:pPr>
      <w:r>
        <w:rPr>
          <w:rFonts w:ascii="Arial" w:hAnsi="Arial" w:eastAsia="Heiti SC"/>
          <w:b/>
        </w:rPr>
        <w:t>推广获客：</w:t>
      </w:r>
      <w:r>
        <w:rPr>
          <w:rFonts w:ascii="Arial" w:hAnsi="Arial" w:eastAsia="Heiti SC"/>
        </w:rPr>
        <w:t>开展搜索广告、短视频内容和达人合作，按周调整投放预算。</w:t>
      </w:r>
    </w:p>
    <w:p>
      <w:pPr>
        <w:pStyle w:val="ListNumber"/>
      </w:pPr>
      <w:r>
        <w:rPr>
          <w:rFonts w:ascii="Arial" w:hAnsi="Arial" w:eastAsia="Heiti SC"/>
          <w:b/>
        </w:rPr>
        <w:t>转化提升：</w:t>
      </w:r>
      <w:r>
        <w:rPr>
          <w:rFonts w:ascii="Arial" w:hAnsi="Arial" w:eastAsia="Heiti SC"/>
        </w:rPr>
        <w:t>优化优惠券、组合购和客服推荐话术，提高下单率及客单价。</w:t>
      </w:r>
    </w:p>
    <w:p>
      <w:pPr>
        <w:pStyle w:val="ListNumber"/>
      </w:pPr>
      <w:r>
        <w:rPr>
          <w:rFonts w:ascii="Arial" w:hAnsi="Arial" w:eastAsia="Heiti SC"/>
          <w:b/>
        </w:rPr>
        <w:t>库存履约：</w:t>
      </w:r>
      <w:r>
        <w:rPr>
          <w:rFonts w:ascii="Arial" w:hAnsi="Arial" w:eastAsia="Heiti SC"/>
        </w:rPr>
        <w:t>为重点商品设置安全库存，清理滞销商品，提升发货效率。</w:t>
      </w:r>
    </w:p>
    <w:p>
      <w:r>
        <w:rPr>
          <w:rFonts w:ascii="Arial" w:hAnsi="Arial" w:eastAsia="Heiti SC"/>
        </w:rPr>
        <w:t>实施范围为现有旗舰店及配套内容账号，本季度暂不新增线下门店。</w:t>
      </w:r>
    </w:p>
    <w:p>
      <w:pPr>
        <w:pStyle w:val="Heading1"/>
      </w:pPr>
      <w:r>
        <w:rPr>
          <w:rFonts w:ascii="Arial" w:hAnsi="Arial" w:eastAsia="Heiti SC"/>
        </w:rPr>
        <w:t>三、关键里程碑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2409"/>
        <w:gridCol w:w="4110"/>
        <w:gridCol w:w="1928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时间节点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关键交付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验收标准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7 月 10 日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商品经营分析与选品清单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确定 10 款重点商品及 5 款新品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7 月 25 日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商品页面升级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10 款商品主图、详情页全部上线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内容负责人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7 月 31 日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首轮投放复盘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7 月支付成交额达到 80 万元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运营负责人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8 月 15 日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新品与组合装上线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5 款新品、3 套组合装可正常购买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8 月 31 日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第二轮经营复盘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8 月支付成交额达到 100 万元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运营负责人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9 月 20 日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季度促销及库存检查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完成促销执行，重点商品备货到位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运营、仓储负责人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9 月 30 日</w:t>
            </w:r>
          </w:p>
        </w:tc>
        <w:tc>
          <w:tcPr>
            <w:tcW w:type="dxa" w:w="24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季度验收报告</w:t>
            </w:r>
          </w:p>
        </w:tc>
        <w:tc>
          <w:tcPr>
            <w:tcW w:type="dxa" w:w="411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9 月成交额达到 120 万元，季度累计达到 300 万元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项目负责人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Arial" w:hAnsi="Arial" w:eastAsia="Heiti SC"/>
        </w:rPr>
        <w:t>每周复盘流量、转化、销售和库存。月度成交额低于目标的 90% 时，运营负责人需提交原因分析及次月调整方案。</w:t>
      </w:r>
    </w:p>
    <w:p>
      <w:pPr>
        <w:pStyle w:val="Heading1"/>
      </w:pPr>
      <w:r>
        <w:rPr>
          <w:rFonts w:ascii="Arial" w:hAnsi="Arial" w:eastAsia="Heiti SC"/>
        </w:rPr>
        <w:t>四、资源需求</w:t>
      </w:r>
    </w:p>
    <w:p>
      <w:pPr>
        <w:pStyle w:val="Heading2"/>
      </w:pPr>
      <w:r>
        <w:rPr>
          <w:rFonts w:ascii="Arial" w:hAnsi="Arial" w:eastAsia="Heiti SC"/>
          <w:b/>
        </w:rPr>
        <w:t>人员配置</w:t>
      </w:r>
    </w:p>
    <w:p>
      <w:r>
        <w:rPr>
          <w:rFonts w:ascii="Arial" w:hAnsi="Arial" w:eastAsia="Heiti SC"/>
        </w:rPr>
        <w:t>配置 6 名项目成员：运营 1 人、商品管理 1 人、内容制作 2 人、客服 1 人、仓储协调 1 人。活动高峰期按需补充临时客服及打包人员。</w:t>
      </w:r>
    </w:p>
    <w:p>
      <w:pPr>
        <w:pStyle w:val="Heading2"/>
      </w:pPr>
      <w:r>
        <w:rPr>
          <w:rFonts w:ascii="Arial" w:hAnsi="Arial" w:eastAsia="Heiti SC"/>
          <w:b/>
        </w:rPr>
        <w:t>季度运营预算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417"/>
        <w:gridCol w:w="5499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费用项目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模拟预算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使用方向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人员成本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18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6 人 × 3 个月 × 1 万元/月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广告投放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24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7 月 6 万、8 月 8 万、9 月 10 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内容制作与达人合作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6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商品拍摄、短视频及合作内容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活动支持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5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赠品、活动物料及执行支持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仓储与物流支持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4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临时人力、包装及物流补贴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数据与运营工具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1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数据分析及客服工具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应急预备费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sz w:val="19"/>
              </w:rPr>
              <w:t>2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补拍、补发及临时支援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4F6"/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b/>
                <w:sz w:val="19"/>
              </w:rPr>
              <w:t>合计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4F6"/>
          </w:tcPr>
          <w:p>
            <w:pPr>
              <w:keepNext w:val="0"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60 万元</w:t>
            </w:r>
          </w:p>
        </w:tc>
        <w:tc>
          <w:tcPr>
            <w:tcW w:type="dxa" w:w="549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4F6"/>
          </w:tcPr>
          <w:p>
            <w:pPr>
              <w:keepNext w:val="0"/>
              <w:widowControl/>
              <w:spacing w:after="0" w:line="269" w:lineRule="auto"/>
              <w:jc w:val="left"/>
            </w:pP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Arial" w:hAnsi="Arial" w:eastAsia="Heiti SC"/>
        </w:rPr>
        <w:t>以上为运营预算，商品采购成本另行核算。商品负责人根据销量预测滚动安排补货，重点商品原则上保持不少于 14 天预计销量的可售库存。</w:t>
      </w:r>
    </w:p>
    <w:p>
      <w:pPr>
        <w:pStyle w:val="Heading1"/>
        <w:pageBreakBefore/>
      </w:pPr>
      <w:r>
        <w:rPr>
          <w:rFonts w:ascii="Arial" w:hAnsi="Arial" w:eastAsia="Heiti SC"/>
        </w:rPr>
        <w:t>五、风险与应对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438"/>
        <w:gridCol w:w="3628"/>
        <w:gridCol w:w="1928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风险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预警条件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应对措施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E3EDF5"/>
          </w:tcPr>
          <w:p>
            <w:pPr>
              <w:keepNext/>
              <w:widowControl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sz w:val="19"/>
              </w:rPr>
              <w:t>责任人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投放效果不佳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连续 7 天获客成本超过预算标准 20%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暂停低效计划，调整素材、关键词和商品组合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运营负责人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畅销商品缺货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可售库存低于未来 14 天预计销量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提前补货，协调供应商；缺货期间降低对应投放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商品负责人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新品销售不达预期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上线两周销量低于计划的 60%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分析流量与转化问题，优化页面并小规模测试优惠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商品、内容负责人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发货积压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当日待发订单超过仓库日处理能力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增加临时打包人员，优先处理临近承诺时限的订单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仓储负责人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售后投诉增加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同一商品一周出现 5 起同类质量投诉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暂停推广，抽检库存，联系供应商整改并处理售后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0" w:line="269" w:lineRule="auto"/>
              <w:jc w:val="left"/>
            </w:pPr>
            <w:r>
              <w:rPr>
                <w:rFonts w:ascii="Arial" w:hAnsi="Arial" w:eastAsia="Heiti SC"/>
                <w:sz w:val="19"/>
              </w:rPr>
              <w:t>商品、客服负责人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rPr>
          <w:rFonts w:ascii="Arial" w:hAnsi="Arial" w:eastAsia="Heiti SC"/>
        </w:rPr>
        <w:t>季度末根据销售目标、转化表现、履约质量和预算执行情况完成复盘，形成 Q4 商品与推广调整清单。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8" w:lineRule="auto"/>
    </w:pPr>
    <w:rPr>
      <w:rFonts w:ascii="Arial" w:hAnsi="Arial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Hei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278" w:lineRule="auto"/>
    </w:pPr>
    <w:rPr>
      <w:rFonts w:ascii="Arial" w:hAnsi="Arial" w:eastAsia="Heiti SC"/>
      <w:b w:val="0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78" w:lineRule="auto"/>
      <w:ind w:left="283" w:hanging="170"/>
      <w:contextualSpacing/>
    </w:pPr>
    <w:rPr>
      <w:rFonts w:ascii="Arial" w:hAnsi="Arial" w:eastAsia="Heiti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78" w:lineRule="auto"/>
      <w:ind w:left="283" w:hanging="170"/>
      <w:contextualSpacing/>
    </w:pPr>
    <w:rPr>
      <w:rFonts w:ascii="Arial" w:hAnsi="Arial" w:eastAsia="Heiti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季度工作计划</dc:title>
  <dc:subject>电商行业季度工作计划 模拟示例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