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44"/>
        </w:rPr>
        <w:t>Innoflamen tuoteryhmittelyn rakentaminen</w:t>
      </w:r>
    </w:p>
    <w:p>
      <w:pPr>
        <w:spacing w:after="240"/>
      </w:pPr>
      <w:r>
        <w:rPr>
          <w:color w:val="555555"/>
          <w:sz w:val="24"/>
        </w:rPr>
        <w:t>Menetelmäkuvaus ja käytetyt lähteet</w:t>
      </w:r>
    </w:p>
    <w:tbl>
      <w:tblPr>
        <w:tblW w:type="auto" w:w="0"/>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60"/>
      </w:tblGrid>
      <w:tr>
        <w:tc>
          <w:tcPr>
            <w:tcW w:type="dxa" w:w="9360"/>
            <w:shd w:fill="F4F6F9"/>
            <w:vAlign w:val="center"/>
          </w:tcPr>
          <w:p>
            <w:pPr>
              <w:spacing w:after="0"/>
            </w:pPr>
            <w:r/>
            <w:r>
              <w:rPr>
                <w:rFonts w:ascii="Calibri" w:hAnsi="Calibri"/>
                <w:b w:val="0"/>
                <w:sz w:val="20"/>
              </w:rPr>
              <w:t>Tuoteryhmittely on rakennettu päätuotetasolle. Lopullisessa aineistossa on 11 381 päätuotetta, 14 päätasoa, 54 alatason ryhmää ja 109 tarkinta ryhmää. Variantit ovat mukana tuotemasterin rakenteessa, mutta niitä ei lasketa erillisinä tuotteina tuoteryhmäpuun yhteenvedossa.</w:t>
            </w:r>
          </w:p>
        </w:tc>
      </w:tr>
    </w:tbl>
    <w:p/>
    <w:p>
      <w:pPr>
        <w:pStyle w:val="Heading1"/>
      </w:pPr>
      <w:r>
        <w:t>1. Lopputulos</w:t>
      </w:r>
    </w:p>
    <w:p>
      <w:r>
        <w:t>Työn lopputuloksena syntyi Innoflamelle kolmitasoinen tuoteryhmäpuu, jossa jokaisella päätuotteella on päätaso, alatason ryhmä ja tarkin tuoteryhmä. Neljäs taso jätettiin pois käytännön selkeyden vuoksi, koska se toisti useissa kohdissa ylempiä tasoja tai johti liian pieniin ryhmiin.</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2592"/>
            <w:shd w:fill="F2F4F7"/>
            <w:vAlign w:val="center"/>
          </w:tcPr>
          <w:p>
            <w:pPr>
              <w:spacing w:after="0"/>
            </w:pPr>
            <w:r/>
            <w:r>
              <w:rPr>
                <w:rFonts w:ascii="Calibri" w:hAnsi="Calibri"/>
                <w:b/>
                <w:sz w:val="20"/>
              </w:rPr>
              <w:t>Mittari</w:t>
            </w:r>
          </w:p>
        </w:tc>
        <w:tc>
          <w:tcPr>
            <w:tcW w:type="dxa" w:w="1440"/>
            <w:shd w:fill="F2F4F7"/>
            <w:vAlign w:val="center"/>
          </w:tcPr>
          <w:p>
            <w:pPr>
              <w:spacing w:after="0"/>
            </w:pPr>
            <w:r/>
            <w:r>
              <w:rPr>
                <w:rFonts w:ascii="Calibri" w:hAnsi="Calibri"/>
                <w:b/>
                <w:sz w:val="20"/>
              </w:rPr>
              <w:t>Arvo</w:t>
            </w:r>
          </w:p>
        </w:tc>
        <w:tc>
          <w:tcPr>
            <w:tcW w:type="dxa" w:w="5328"/>
            <w:shd w:fill="F2F4F7"/>
            <w:vAlign w:val="center"/>
          </w:tcPr>
          <w:p>
            <w:pPr>
              <w:spacing w:after="0"/>
            </w:pPr>
            <w:r/>
            <w:r>
              <w:rPr>
                <w:rFonts w:ascii="Calibri" w:hAnsi="Calibri"/>
                <w:b/>
                <w:sz w:val="20"/>
              </w:rPr>
              <w:t>Selite</w:t>
            </w:r>
          </w:p>
        </w:tc>
      </w:tr>
      <w:tr>
        <w:tc>
          <w:tcPr>
            <w:tcW w:type="dxa" w:w="2592"/>
            <w:vAlign w:val="center"/>
          </w:tcPr>
          <w:p>
            <w:pPr>
              <w:spacing w:after="0"/>
            </w:pPr>
            <w:r/>
            <w:r>
              <w:rPr>
                <w:rFonts w:ascii="Calibri" w:hAnsi="Calibri"/>
                <w:b w:val="0"/>
                <w:sz w:val="20"/>
              </w:rPr>
              <w:t>Päätuotteet</w:t>
            </w:r>
          </w:p>
        </w:tc>
        <w:tc>
          <w:tcPr>
            <w:tcW w:type="dxa" w:w="1440"/>
            <w:vAlign w:val="center"/>
          </w:tcPr>
          <w:p>
            <w:pPr>
              <w:spacing w:after="0"/>
            </w:pPr>
            <w:r/>
            <w:r>
              <w:rPr>
                <w:rFonts w:ascii="Calibri" w:hAnsi="Calibri"/>
                <w:b w:val="0"/>
                <w:sz w:val="20"/>
              </w:rPr>
              <w:t>11 381</w:t>
            </w:r>
          </w:p>
        </w:tc>
        <w:tc>
          <w:tcPr>
            <w:tcW w:type="dxa" w:w="5328"/>
            <w:vAlign w:val="center"/>
          </w:tcPr>
          <w:p>
            <w:pPr>
              <w:spacing w:after="0"/>
            </w:pPr>
            <w:r/>
            <w:r>
              <w:rPr>
                <w:rFonts w:ascii="Calibri" w:hAnsi="Calibri"/>
                <w:b w:val="0"/>
                <w:sz w:val="20"/>
              </w:rPr>
              <w:t>Yksi rivi vastaa päätuotetta, esimerkiksi IF-9271.</w:t>
            </w:r>
          </w:p>
        </w:tc>
      </w:tr>
      <w:tr>
        <w:tc>
          <w:tcPr>
            <w:tcW w:type="dxa" w:w="2592"/>
            <w:vAlign w:val="center"/>
          </w:tcPr>
          <w:p>
            <w:pPr>
              <w:spacing w:after="0"/>
            </w:pPr>
            <w:r/>
            <w:r>
              <w:rPr>
                <w:rFonts w:ascii="Calibri" w:hAnsi="Calibri"/>
                <w:b w:val="0"/>
                <w:sz w:val="20"/>
              </w:rPr>
              <w:t>Variantit tuotemasterissa</w:t>
            </w:r>
          </w:p>
        </w:tc>
        <w:tc>
          <w:tcPr>
            <w:tcW w:type="dxa" w:w="1440"/>
            <w:vAlign w:val="center"/>
          </w:tcPr>
          <w:p>
            <w:pPr>
              <w:spacing w:after="0"/>
            </w:pPr>
            <w:r/>
            <w:r>
              <w:rPr>
                <w:rFonts w:ascii="Calibri" w:hAnsi="Calibri"/>
                <w:b w:val="0"/>
                <w:sz w:val="20"/>
              </w:rPr>
              <w:t>34 552</w:t>
            </w:r>
          </w:p>
        </w:tc>
        <w:tc>
          <w:tcPr>
            <w:tcW w:type="dxa" w:w="5328"/>
            <w:vAlign w:val="center"/>
          </w:tcPr>
          <w:p>
            <w:pPr>
              <w:spacing w:after="0"/>
            </w:pPr>
            <w:r/>
            <w:r>
              <w:rPr>
                <w:rFonts w:ascii="Calibri" w:hAnsi="Calibri"/>
                <w:b w:val="0"/>
                <w:sz w:val="20"/>
              </w:rPr>
              <w:t>Variantit löytyvät products.json.gz-tiedoston options-rakenteesta.</w:t>
            </w:r>
          </w:p>
        </w:tc>
      </w:tr>
      <w:tr>
        <w:tc>
          <w:tcPr>
            <w:tcW w:type="dxa" w:w="2592"/>
            <w:vAlign w:val="center"/>
          </w:tcPr>
          <w:p>
            <w:pPr>
              <w:spacing w:after="0"/>
            </w:pPr>
            <w:r/>
            <w:r>
              <w:rPr>
                <w:rFonts w:ascii="Calibri" w:hAnsi="Calibri"/>
                <w:b w:val="0"/>
                <w:sz w:val="20"/>
              </w:rPr>
              <w:t>Päätasot</w:t>
            </w:r>
          </w:p>
        </w:tc>
        <w:tc>
          <w:tcPr>
            <w:tcW w:type="dxa" w:w="1440"/>
            <w:vAlign w:val="center"/>
          </w:tcPr>
          <w:p>
            <w:pPr>
              <w:spacing w:after="0"/>
            </w:pPr>
            <w:r/>
            <w:r>
              <w:rPr>
                <w:rFonts w:ascii="Calibri" w:hAnsi="Calibri"/>
                <w:b w:val="0"/>
                <w:sz w:val="20"/>
              </w:rPr>
              <w:t>14</w:t>
            </w:r>
          </w:p>
        </w:tc>
        <w:tc>
          <w:tcPr>
            <w:tcW w:type="dxa" w:w="5328"/>
            <w:vAlign w:val="center"/>
          </w:tcPr>
          <w:p>
            <w:pPr>
              <w:spacing w:after="0"/>
            </w:pPr>
            <w:r/>
            <w:r>
              <w:rPr>
                <w:rFonts w:ascii="Calibri" w:hAnsi="Calibri"/>
                <w:b w:val="0"/>
                <w:sz w:val="20"/>
              </w:rPr>
              <w:t>Tuoteryhmäpuun ylin taso.</w:t>
            </w:r>
          </w:p>
        </w:tc>
      </w:tr>
      <w:tr>
        <w:tc>
          <w:tcPr>
            <w:tcW w:type="dxa" w:w="2592"/>
            <w:vAlign w:val="center"/>
          </w:tcPr>
          <w:p>
            <w:pPr>
              <w:spacing w:after="0"/>
            </w:pPr>
            <w:r/>
            <w:r>
              <w:rPr>
                <w:rFonts w:ascii="Calibri" w:hAnsi="Calibri"/>
                <w:b w:val="0"/>
                <w:sz w:val="20"/>
              </w:rPr>
              <w:t>Taso 2</w:t>
            </w:r>
          </w:p>
        </w:tc>
        <w:tc>
          <w:tcPr>
            <w:tcW w:type="dxa" w:w="1440"/>
            <w:vAlign w:val="center"/>
          </w:tcPr>
          <w:p>
            <w:pPr>
              <w:spacing w:after="0"/>
            </w:pPr>
            <w:r/>
            <w:r>
              <w:rPr>
                <w:rFonts w:ascii="Calibri" w:hAnsi="Calibri"/>
                <w:b w:val="0"/>
                <w:sz w:val="20"/>
              </w:rPr>
              <w:t>54</w:t>
            </w:r>
          </w:p>
        </w:tc>
        <w:tc>
          <w:tcPr>
            <w:tcW w:type="dxa" w:w="5328"/>
            <w:vAlign w:val="center"/>
          </w:tcPr>
          <w:p>
            <w:pPr>
              <w:spacing w:after="0"/>
            </w:pPr>
            <w:r/>
            <w:r>
              <w:rPr>
                <w:rFonts w:ascii="Calibri" w:hAnsi="Calibri"/>
                <w:b w:val="0"/>
                <w:sz w:val="20"/>
              </w:rPr>
              <w:t>Päätason alla oleva ryhmittely.</w:t>
            </w:r>
          </w:p>
        </w:tc>
      </w:tr>
      <w:tr>
        <w:tc>
          <w:tcPr>
            <w:tcW w:type="dxa" w:w="2592"/>
            <w:vAlign w:val="center"/>
          </w:tcPr>
          <w:p>
            <w:pPr>
              <w:spacing w:after="0"/>
            </w:pPr>
            <w:r/>
            <w:r>
              <w:rPr>
                <w:rFonts w:ascii="Calibri" w:hAnsi="Calibri"/>
                <w:b w:val="0"/>
                <w:sz w:val="20"/>
              </w:rPr>
              <w:t>Taso 3</w:t>
            </w:r>
          </w:p>
        </w:tc>
        <w:tc>
          <w:tcPr>
            <w:tcW w:type="dxa" w:w="1440"/>
            <w:vAlign w:val="center"/>
          </w:tcPr>
          <w:p>
            <w:pPr>
              <w:spacing w:after="0"/>
            </w:pPr>
            <w:r/>
            <w:r>
              <w:rPr>
                <w:rFonts w:ascii="Calibri" w:hAnsi="Calibri"/>
                <w:b w:val="0"/>
                <w:sz w:val="20"/>
              </w:rPr>
              <w:t>109</w:t>
            </w:r>
          </w:p>
        </w:tc>
        <w:tc>
          <w:tcPr>
            <w:tcW w:type="dxa" w:w="5328"/>
            <w:vAlign w:val="center"/>
          </w:tcPr>
          <w:p>
            <w:pPr>
              <w:spacing w:after="0"/>
            </w:pPr>
            <w:r/>
            <w:r>
              <w:rPr>
                <w:rFonts w:ascii="Calibri" w:hAnsi="Calibri"/>
                <w:b w:val="0"/>
                <w:sz w:val="20"/>
              </w:rPr>
              <w:t>Tarkin käytössä oleva ryhmä tässä versiossa.</w:t>
            </w:r>
          </w:p>
        </w:tc>
      </w:tr>
      <w:tr>
        <w:tc>
          <w:tcPr>
            <w:tcW w:type="dxa" w:w="2592"/>
            <w:vAlign w:val="center"/>
          </w:tcPr>
          <w:p>
            <w:pPr>
              <w:spacing w:after="0"/>
            </w:pPr>
            <w:r/>
            <w:r>
              <w:rPr>
                <w:rFonts w:ascii="Calibri" w:hAnsi="Calibri"/>
                <w:b w:val="0"/>
                <w:sz w:val="20"/>
              </w:rPr>
              <w:t>Minimikoko alimmalla tasolla</w:t>
            </w:r>
          </w:p>
        </w:tc>
        <w:tc>
          <w:tcPr>
            <w:tcW w:type="dxa" w:w="1440"/>
            <w:vAlign w:val="center"/>
          </w:tcPr>
          <w:p>
            <w:pPr>
              <w:spacing w:after="0"/>
            </w:pPr>
            <w:r/>
            <w:r>
              <w:rPr>
                <w:rFonts w:ascii="Calibri" w:hAnsi="Calibri"/>
                <w:b w:val="0"/>
                <w:sz w:val="20"/>
              </w:rPr>
              <w:t>5</w:t>
            </w:r>
          </w:p>
        </w:tc>
        <w:tc>
          <w:tcPr>
            <w:tcW w:type="dxa" w:w="5328"/>
            <w:vAlign w:val="center"/>
          </w:tcPr>
          <w:p>
            <w:pPr>
              <w:spacing w:after="0"/>
            </w:pPr>
            <w:r/>
            <w:r>
              <w:rPr>
                <w:rFonts w:ascii="Calibri" w:hAnsi="Calibri"/>
                <w:b w:val="0"/>
                <w:sz w:val="20"/>
              </w:rPr>
              <w:t>Pienemmät ryhmät yhdistettiin tai ohjattiin tarkistettaviin.</w:t>
            </w:r>
          </w:p>
        </w:tc>
      </w:tr>
    </w:tbl>
    <w:p/>
    <w:p>
      <w:pPr>
        <w:pStyle w:val="Heading1"/>
      </w:pPr>
      <w:r>
        <w:t>2. Käytetyt lähteet</w:t>
      </w:r>
    </w:p>
    <w:p>
      <w:r>
        <w:t>Tuoteryhmittely perustuu Innoflamen tuotemasteriin ja sitä rikastaviin lähteisiin. Pääasiallisena tuotelähteenä käytettiin tuotemasteria, ja lisätiedot haettiin tuotteen omista teksteistä, toimittaja-aineistoista sekä brändi- ja varastotiedoista.</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c>
          <w:tcPr>
            <w:tcW w:type="dxa" w:w="3311"/>
            <w:shd w:fill="F2F4F7"/>
            <w:vAlign w:val="center"/>
          </w:tcPr>
          <w:p>
            <w:pPr>
              <w:spacing w:after="0"/>
            </w:pPr>
            <w:r/>
            <w:r>
              <w:rPr>
                <w:rFonts w:ascii="Calibri" w:hAnsi="Calibri"/>
                <w:b/>
                <w:sz w:val="20"/>
              </w:rPr>
              <w:t>Lähde</w:t>
            </w:r>
          </w:p>
        </w:tc>
        <w:tc>
          <w:tcPr>
            <w:tcW w:type="dxa" w:w="6048"/>
            <w:shd w:fill="F2F4F7"/>
            <w:vAlign w:val="center"/>
          </w:tcPr>
          <w:p>
            <w:pPr>
              <w:spacing w:after="0"/>
            </w:pPr>
            <w:r/>
            <w:r>
              <w:rPr>
                <w:rFonts w:ascii="Calibri" w:hAnsi="Calibri"/>
                <w:b/>
                <w:sz w:val="20"/>
              </w:rPr>
              <w:t>Käyttötapa</w:t>
            </w:r>
          </w:p>
        </w:tc>
      </w:tr>
      <w:tr>
        <w:tc>
          <w:tcPr>
            <w:tcW w:type="dxa" w:w="3311"/>
            <w:vAlign w:val="center"/>
          </w:tcPr>
          <w:p>
            <w:pPr>
              <w:spacing w:after="0"/>
            </w:pPr>
            <w:r/>
            <w:r>
              <w:rPr>
                <w:rFonts w:ascii="Calibri" w:hAnsi="Calibri"/>
                <w:b w:val="0"/>
                <w:sz w:val="20"/>
              </w:rPr>
              <w:t>products.json.gz</w:t>
            </w:r>
          </w:p>
        </w:tc>
        <w:tc>
          <w:tcPr>
            <w:tcW w:type="dxa" w:w="6048"/>
            <w:vAlign w:val="center"/>
          </w:tcPr>
          <w:p>
            <w:pPr>
              <w:spacing w:after="0"/>
            </w:pPr>
            <w:r/>
            <w:r>
              <w:rPr>
                <w:rFonts w:ascii="Calibri" w:hAnsi="Calibri"/>
                <w:b w:val="0"/>
                <w:sz w:val="20"/>
              </w:rPr>
              <w:t>Päätuotteet, varianttirakenne, tuotekoodit, tuotetekstit ja GoSystem-tuotemasterin perusrakenne.</w:t>
            </w:r>
          </w:p>
        </w:tc>
      </w:tr>
      <w:tr>
        <w:tc>
          <w:tcPr>
            <w:tcW w:type="dxa" w:w="3311"/>
            <w:vAlign w:val="center"/>
          </w:tcPr>
          <w:p>
            <w:pPr>
              <w:spacing w:after="0"/>
            </w:pPr>
            <w:r/>
            <w:r>
              <w:rPr>
                <w:rFonts w:ascii="Calibri" w:hAnsi="Calibri"/>
                <w:b w:val="0"/>
                <w:sz w:val="20"/>
              </w:rPr>
              <w:t>products_table_view.csv</w:t>
            </w:r>
          </w:p>
        </w:tc>
        <w:tc>
          <w:tcPr>
            <w:tcW w:type="dxa" w:w="6048"/>
            <w:vAlign w:val="center"/>
          </w:tcPr>
          <w:p>
            <w:pPr>
              <w:spacing w:after="0"/>
            </w:pPr>
            <w:r/>
            <w:r>
              <w:rPr>
                <w:rFonts w:ascii="Calibri" w:hAnsi="Calibri"/>
                <w:b w:val="0"/>
                <w:sz w:val="20"/>
              </w:rPr>
              <w:t>Tuotemasterista muodostettu taulukkonäkymä analyysiin ja välivaiheisiin.</w:t>
            </w:r>
          </w:p>
        </w:tc>
      </w:tr>
      <w:tr>
        <w:tc>
          <w:tcPr>
            <w:tcW w:type="dxa" w:w="3311"/>
            <w:vAlign w:val="center"/>
          </w:tcPr>
          <w:p>
            <w:pPr>
              <w:spacing w:after="0"/>
            </w:pPr>
            <w:r/>
            <w:r>
              <w:rPr>
                <w:rFonts w:ascii="Calibri" w:hAnsi="Calibri"/>
                <w:b w:val="0"/>
                <w:sz w:val="20"/>
              </w:rPr>
              <w:t>Innoflame_tuoteryhmittely.csv/xlsx</w:t>
            </w:r>
          </w:p>
        </w:tc>
        <w:tc>
          <w:tcPr>
            <w:tcW w:type="dxa" w:w="6048"/>
            <w:vAlign w:val="center"/>
          </w:tcPr>
          <w:p>
            <w:pPr>
              <w:spacing w:after="0"/>
            </w:pPr>
            <w:r/>
            <w:r>
              <w:rPr>
                <w:rFonts w:ascii="Calibri" w:hAnsi="Calibri"/>
                <w:b w:val="0"/>
                <w:sz w:val="20"/>
              </w:rPr>
              <w:t>Lopullinen tuoteryhmittely ja päätuotetason yhteenveto.</w:t>
            </w:r>
          </w:p>
        </w:tc>
      </w:tr>
      <w:tr>
        <w:tc>
          <w:tcPr>
            <w:tcW w:type="dxa" w:w="3311"/>
            <w:vAlign w:val="center"/>
          </w:tcPr>
          <w:p>
            <w:pPr>
              <w:spacing w:after="0"/>
            </w:pPr>
            <w:r/>
            <w:r>
              <w:rPr>
                <w:rFonts w:ascii="Calibri" w:hAnsi="Calibri"/>
                <w:b w:val="0"/>
                <w:sz w:val="20"/>
              </w:rPr>
              <w:t>Brand mapping.xlsx</w:t>
            </w:r>
          </w:p>
        </w:tc>
        <w:tc>
          <w:tcPr>
            <w:tcW w:type="dxa" w:w="6048"/>
            <w:vAlign w:val="center"/>
          </w:tcPr>
          <w:p>
            <w:pPr>
              <w:spacing w:after="0"/>
            </w:pPr>
            <w:r/>
            <w:r>
              <w:rPr>
                <w:rFonts w:ascii="Calibri" w:hAnsi="Calibri"/>
                <w:b w:val="0"/>
                <w:sz w:val="20"/>
              </w:rPr>
              <w:t>Bränditietojen täydentäminen ja yhtenäistäminen.</w:t>
            </w:r>
          </w:p>
        </w:tc>
      </w:tr>
      <w:tr>
        <w:tc>
          <w:tcPr>
            <w:tcW w:type="dxa" w:w="3311"/>
            <w:vAlign w:val="center"/>
          </w:tcPr>
          <w:p>
            <w:pPr>
              <w:spacing w:after="0"/>
            </w:pPr>
            <w:r/>
            <w:r>
              <w:rPr>
                <w:rFonts w:ascii="Calibri" w:hAnsi="Calibri"/>
                <w:b w:val="0"/>
                <w:sz w:val="20"/>
              </w:rPr>
              <w:t>Product lists from suppliers.zip</w:t>
            </w:r>
          </w:p>
        </w:tc>
        <w:tc>
          <w:tcPr>
            <w:tcW w:type="dxa" w:w="6048"/>
            <w:vAlign w:val="center"/>
          </w:tcPr>
          <w:p>
            <w:pPr>
              <w:spacing w:after="0"/>
            </w:pPr>
            <w:r/>
            <w:r>
              <w:rPr>
                <w:rFonts w:ascii="Calibri" w:hAnsi="Calibri"/>
                <w:b w:val="0"/>
                <w:sz w:val="20"/>
              </w:rPr>
              <w:t>Toimittajakohtaiset lisätiedot, kuten paino-, koko- ja logistiikkatietojen rikastus.</w:t>
            </w:r>
          </w:p>
        </w:tc>
      </w:tr>
      <w:tr>
        <w:tc>
          <w:tcPr>
            <w:tcW w:type="dxa" w:w="3311"/>
            <w:vAlign w:val="center"/>
          </w:tcPr>
          <w:p>
            <w:pPr>
              <w:spacing w:after="0"/>
            </w:pPr>
            <w:r/>
            <w:r>
              <w:rPr>
                <w:rFonts w:ascii="Calibri" w:hAnsi="Calibri"/>
                <w:b w:val="0"/>
                <w:sz w:val="20"/>
              </w:rPr>
              <w:t>GC_tuotetiedot.xlsx</w:t>
            </w:r>
          </w:p>
        </w:tc>
        <w:tc>
          <w:tcPr>
            <w:tcW w:type="dxa" w:w="6048"/>
            <w:vAlign w:val="center"/>
          </w:tcPr>
          <w:p>
            <w:pPr>
              <w:spacing w:after="0"/>
            </w:pPr>
            <w:r/>
            <w:r>
              <w:rPr>
                <w:rFonts w:ascii="Calibri" w:hAnsi="Calibri"/>
                <w:b w:val="0"/>
                <w:sz w:val="20"/>
              </w:rPr>
              <w:t>GC-tuotteiden ja pakkaus-/laatikkomittojen täydennys soveltuvin osin.</w:t>
            </w:r>
          </w:p>
        </w:tc>
      </w:tr>
      <w:tr>
        <w:tc>
          <w:tcPr>
            <w:tcW w:type="dxa" w:w="3311"/>
            <w:vAlign w:val="center"/>
          </w:tcPr>
          <w:p>
            <w:pPr>
              <w:spacing w:after="0"/>
            </w:pPr>
            <w:r/>
            <w:r>
              <w:rPr>
                <w:rFonts w:ascii="Calibri" w:hAnsi="Calibri"/>
                <w:b w:val="0"/>
                <w:sz w:val="20"/>
              </w:rPr>
              <w:t>Trexet_SS26.xlsx</w:t>
            </w:r>
          </w:p>
        </w:tc>
        <w:tc>
          <w:tcPr>
            <w:tcW w:type="dxa" w:w="6048"/>
            <w:vAlign w:val="center"/>
          </w:tcPr>
          <w:p>
            <w:pPr>
              <w:spacing w:after="0"/>
            </w:pPr>
            <w:r/>
            <w:r>
              <w:rPr>
                <w:rFonts w:ascii="Calibri" w:hAnsi="Calibri"/>
                <w:b w:val="0"/>
                <w:sz w:val="20"/>
              </w:rPr>
              <w:t>Trexet/New Wave -tuotteiden lisätiedot.</w:t>
            </w:r>
          </w:p>
        </w:tc>
      </w:tr>
      <w:tr>
        <w:tc>
          <w:tcPr>
            <w:tcW w:type="dxa" w:w="3311"/>
            <w:vAlign w:val="center"/>
          </w:tcPr>
          <w:p>
            <w:pPr>
              <w:spacing w:after="0"/>
            </w:pPr>
            <w:r/>
            <w:r>
              <w:rPr>
                <w:rFonts w:ascii="Calibri" w:hAnsi="Calibri"/>
                <w:b w:val="0"/>
                <w:sz w:val="20"/>
              </w:rPr>
              <w:t>products_Stanley_Stella.csv</w:t>
            </w:r>
          </w:p>
        </w:tc>
        <w:tc>
          <w:tcPr>
            <w:tcW w:type="dxa" w:w="6048"/>
            <w:vAlign w:val="center"/>
          </w:tcPr>
          <w:p>
            <w:pPr>
              <w:spacing w:after="0"/>
            </w:pPr>
            <w:r/>
            <w:r>
              <w:rPr>
                <w:rFonts w:ascii="Calibri" w:hAnsi="Calibri"/>
                <w:b w:val="0"/>
                <w:sz w:val="20"/>
              </w:rPr>
              <w:t>Stanley/Stella-tuotteiden paino- ja tuotetietojen täydennys.</w:t>
            </w:r>
          </w:p>
        </w:tc>
      </w:tr>
      <w:tr>
        <w:tc>
          <w:tcPr>
            <w:tcW w:type="dxa" w:w="3311"/>
            <w:vAlign w:val="center"/>
          </w:tcPr>
          <w:p>
            <w:pPr>
              <w:spacing w:after="0"/>
            </w:pPr>
            <w:r/>
            <w:r>
              <w:rPr>
                <w:rFonts w:ascii="Calibri" w:hAnsi="Calibri"/>
                <w:b w:val="0"/>
                <w:sz w:val="20"/>
              </w:rPr>
              <w:t>Fiskars-aineistot</w:t>
            </w:r>
          </w:p>
        </w:tc>
        <w:tc>
          <w:tcPr>
            <w:tcW w:type="dxa" w:w="6048"/>
            <w:vAlign w:val="center"/>
          </w:tcPr>
          <w:p>
            <w:pPr>
              <w:spacing w:after="0"/>
            </w:pPr>
            <w:r/>
            <w:r>
              <w:rPr>
                <w:rFonts w:ascii="Calibri" w:hAnsi="Calibri"/>
                <w:b w:val="0"/>
                <w:sz w:val="20"/>
              </w:rPr>
              <w:t>Fiskarsin tuote- ja logistiikkatietojen rikastus.</w:t>
            </w:r>
          </w:p>
        </w:tc>
      </w:tr>
      <w:tr>
        <w:tc>
          <w:tcPr>
            <w:tcW w:type="dxa" w:w="3311"/>
            <w:vAlign w:val="center"/>
          </w:tcPr>
          <w:p>
            <w:pPr>
              <w:spacing w:after="0"/>
            </w:pPr>
            <w:r/>
            <w:r>
              <w:rPr>
                <w:rFonts w:ascii="Calibri" w:hAnsi="Calibri"/>
                <w:b w:val="0"/>
                <w:sz w:val="20"/>
              </w:rPr>
              <w:t>Asiakaspalaute tuoteryhmäpuusta</w:t>
            </w:r>
          </w:p>
        </w:tc>
        <w:tc>
          <w:tcPr>
            <w:tcW w:type="dxa" w:w="6048"/>
            <w:vAlign w:val="center"/>
          </w:tcPr>
          <w:p>
            <w:pPr>
              <w:spacing w:after="0"/>
            </w:pPr>
            <w:r/>
            <w:r>
              <w:rPr>
                <w:rFonts w:ascii="Calibri" w:hAnsi="Calibri"/>
                <w:b w:val="0"/>
                <w:sz w:val="20"/>
              </w:rPr>
              <w:t>Tason 4 poistaminen pääosin, nimistömuutokset, promootio-/decal-/lahjakorttiryhmien tarkennukset.</w:t>
            </w:r>
          </w:p>
        </w:tc>
      </w:tr>
    </w:tbl>
    <w:p/>
    <w:p>
      <w:pPr>
        <w:pStyle w:val="Heading1"/>
      </w:pPr>
      <w:r>
        <w:t>3. Kentät, joilla luokittelua ohjattiin</w:t>
      </w:r>
    </w:p>
    <w:p>
      <w:r>
        <w:t>Luokittelu tehtiin ensisijaisesti tuotteen omien tekstien ja tunnisteiden perusteella. Erityisesti hyödynnettiin tuotenimeä, suomenkielistä otsikkoa, suomenkielistä kuvausta, hakudataa, SKU-/tuotekoodia ja brändinimeä.</w:t>
      </w:r>
    </w:p>
    <w:p>
      <w:pPr>
        <w:pStyle w:val="ListBullet"/>
        <w:spacing w:after="80"/>
      </w:pPr>
      <w:r>
        <w:t>Tuotteen tunnisteet: product_id, code, sku.</w:t>
      </w:r>
    </w:p>
    <w:p>
      <w:pPr>
        <w:pStyle w:val="ListBullet"/>
        <w:spacing w:after="80"/>
      </w:pPr>
      <w:r>
        <w:t>Tuotteen tekstisisältö: product_name, title_fi, description_fi ja searchdata.</w:t>
      </w:r>
    </w:p>
    <w:p>
      <w:pPr>
        <w:pStyle w:val="ListBullet"/>
        <w:spacing w:after="80"/>
      </w:pPr>
      <w:r>
        <w:t>Täydentävät tiedot: brand_name, inventory_category ja inventory_supplier.</w:t>
      </w:r>
    </w:p>
    <w:p>
      <w:pPr>
        <w:pStyle w:val="ListBullet"/>
        <w:spacing w:after="80"/>
      </w:pPr>
      <w:r>
        <w:t>Lopullista uutta luokittelua ei ohjattu inventory_warehouse_category-kentällä, koska se haluttiin rajata pois ohjaavana tietona.</w:t>
      </w:r>
    </w:p>
    <w:p>
      <w:pPr>
        <w:pStyle w:val="Heading1"/>
      </w:pPr>
      <w:r>
        <w:t>4. Rakentamisen vaiheet</w:t>
      </w:r>
    </w:p>
    <w:p>
      <w:pPr>
        <w:pStyle w:val="ListNumber"/>
        <w:spacing w:after="80"/>
      </w:pPr>
      <w:r>
        <w:t>Tuotemasteri purettiin päätuotetasolle. Variantit tunnistettiin products.json.gz-tiedoston options-listasta, mutta tuoteryhmittely tehtiin päätuotteille.</w:t>
      </w:r>
    </w:p>
    <w:p>
      <w:pPr>
        <w:pStyle w:val="ListNumber"/>
        <w:spacing w:after="80"/>
      </w:pPr>
      <w:r>
        <w:t>Tuotetekstit normalisoitiin hakua varten. Luokittelussa yhdistettiin tuotenimi, otsikko, kuvaus, hakudata, koodi ja brändi.</w:t>
      </w:r>
    </w:p>
    <w:p>
      <w:pPr>
        <w:pStyle w:val="ListNumber"/>
        <w:spacing w:after="80"/>
      </w:pPr>
      <w:r>
        <w:t>Tuotteille luotiin ensimmäinen tuoteryhmäpuu olemassa olevien tuotekategorioiden, tekstisääntöjen ja tuotetyyppien perusteella.</w:t>
      </w:r>
    </w:p>
    <w:p>
      <w:pPr>
        <w:pStyle w:val="ListNumber"/>
        <w:spacing w:after="80"/>
      </w:pPr>
      <w:r>
        <w:t>Toimittaja- ja brändiaineistoilla rikastettiin masteria, jotta tuotetekstit, mitat ja tunnisteet tukivat myöhempää laadunvarmistusta.</w:t>
      </w:r>
    </w:p>
    <w:p>
      <w:pPr>
        <w:pStyle w:val="ListNumber"/>
        <w:spacing w:after="80"/>
      </w:pPr>
      <w:r>
        <w:t>inventory_warehouse_category poistettiin ohjaavasta roolista ja luokittelu rakennettiin uudelleen tuotetekstien, tunnisteiden ja sääntöjen pohjalta.</w:t>
      </w:r>
    </w:p>
    <w:p>
      <w:pPr>
        <w:pStyle w:val="ListNumber"/>
        <w:spacing w:after="80"/>
      </w:pPr>
      <w:r>
        <w:t>Liian pienet alimman tason ryhmät yhdistettiin, jotta alimmalla tasolla ei jäisi alle viiden tuotteen ryhmiä.</w:t>
      </w:r>
    </w:p>
    <w:p>
      <w:pPr>
        <w:pStyle w:val="ListNumber"/>
        <w:spacing w:after="80"/>
      </w:pPr>
      <w:r>
        <w:t>Asiakaspalautteen perusteella ryhmäpuu yksinkertaistettiin pääosin kolmeen tasoon ja nimistöä korjattiin.</w:t>
      </w:r>
    </w:p>
    <w:p>
      <w:pPr>
        <w:pStyle w:val="ListNumber"/>
        <w:spacing w:after="80"/>
      </w:pPr>
      <w:r>
        <w:t>Tarkistettavat-ryhmälle tehtiin erillinen analyysi. Korkean varmuuden ehdotukset siirrettiin automaattisesti oikeisiin ryhmiin.</w:t>
      </w:r>
    </w:p>
    <w:p>
      <w:pPr>
        <w:pStyle w:val="ListNumber"/>
        <w:spacing w:after="80"/>
      </w:pPr>
      <w:r>
        <w:t>Lopuksi muodostettiin Excel, PowerPoint-kooste ja päätuotetason yhteenvedot.</w:t>
      </w:r>
    </w:p>
    <w:p>
      <w:pPr>
        <w:pStyle w:val="Heading1"/>
      </w:pPr>
      <w:r>
        <w:t>5. Asiakaspalautteen perusteella tehdyt keskeiset muutokset</w:t>
      </w:r>
    </w:p>
    <w:p>
      <w:pPr>
        <w:pStyle w:val="ListBullet"/>
        <w:spacing w:after="80"/>
      </w:pPr>
      <w:r>
        <w:t>Taso 4 poistettiin käytöstä pääosin, koska se teki puusta liian spesifin ja toisti usein tason 3 otsikoita.</w:t>
      </w:r>
    </w:p>
    <w:p>
      <w:pPr>
        <w:pStyle w:val="ListBullet"/>
        <w:spacing w:after="80"/>
      </w:pPr>
      <w:r>
        <w:t>Nimistöä yhtenäistettiin niin, ettei sama otsikko toistu samalla polulla tasolla 2 ja tasolla 3.</w:t>
      </w:r>
    </w:p>
    <w:p>
      <w:pPr>
        <w:pStyle w:val="ListBullet"/>
        <w:spacing w:after="80"/>
      </w:pPr>
      <w:r>
        <w:t>Kaulanauhat, avaimenperät, heijastimet, pinssit ja rintanapit sijoitettiin promootio- ja tapahtumatuotteiden alle.</w:t>
      </w:r>
    </w:p>
    <w:p>
      <w:pPr>
        <w:pStyle w:val="ListBullet"/>
        <w:spacing w:after="80"/>
      </w:pPr>
      <w:r>
        <w:t>Putkihuivit erotettiin tavallisista kaulahuiveista ja sijoitettiin promootio-/jakotuotteisiin.</w:t>
      </w:r>
    </w:p>
    <w:p>
      <w:pPr>
        <w:pStyle w:val="ListBullet"/>
        <w:spacing w:after="80"/>
      </w:pPr>
      <w:r>
        <w:t>Decalit ja merkkaustuotteet muodostettiin omaksi kokonaisuudekseen siirtokuville, tekstiilimerkeille ja vastaaville tuotteille.</w:t>
      </w:r>
    </w:p>
    <w:p>
      <w:pPr>
        <w:pStyle w:val="ListBullet"/>
        <w:spacing w:after="80"/>
      </w:pPr>
      <w:r>
        <w:t>Lahjat ja sesonkituotteet korvattiin rajatummalla lahjakortit ja hyväntekeväisyys -kokonaisuudella.</w:t>
      </w:r>
    </w:p>
    <w:p>
      <w:pPr>
        <w:pStyle w:val="ListBullet"/>
        <w:spacing w:after="80"/>
      </w:pPr>
      <w:r>
        <w:t>Asusteet sijoitettiin vaatteiden alle, ja korut, kellot sekä aurinkolasit pidettiin omana päätasonaan.</w:t>
      </w:r>
    </w:p>
    <w:p>
      <w:pPr>
        <w:pStyle w:val="ListBullet"/>
        <w:spacing w:after="80"/>
      </w:pPr>
      <w:r>
        <w:t>Turvallisuus-käsitettä kavennettiin; suojaimet säilyivät omana käyttötarkoitusta paremmin kuvaavana kokonaisuutena.</w:t>
      </w:r>
    </w:p>
    <w:p>
      <w:pPr>
        <w:pStyle w:val="Heading1"/>
      </w:pPr>
      <w:r>
        <w:t>6. Tarkistettavat-ryhmä ja automaattiset siirrot</w:t>
      </w:r>
    </w:p>
    <w:p>
      <w:r>
        <w:t>Tarkistettavat-ryhmä kerää tuotteet, joiden tekstistä tai tunnisteista ei saatu riittävän varmaa kohdistusta. Ryhmästä tehtiin erillinen analyysi, jossa haettiin mahdollisia siirtoja muihin tuoteryhmiin avainsanojen ja kuvaustekstien perusteella.</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3024"/>
            <w:shd w:fill="F2F4F7"/>
            <w:vAlign w:val="center"/>
          </w:tcPr>
          <w:p>
            <w:pPr>
              <w:spacing w:after="0"/>
            </w:pPr>
            <w:r/>
            <w:r>
              <w:rPr>
                <w:rFonts w:ascii="Calibri" w:hAnsi="Calibri"/>
                <w:b/>
                <w:sz w:val="20"/>
              </w:rPr>
              <w:t>Kohta</w:t>
            </w:r>
          </w:p>
        </w:tc>
        <w:tc>
          <w:tcPr>
            <w:tcW w:type="dxa" w:w="1440"/>
            <w:shd w:fill="F2F4F7"/>
            <w:vAlign w:val="center"/>
          </w:tcPr>
          <w:p>
            <w:pPr>
              <w:spacing w:after="0"/>
            </w:pPr>
            <w:r/>
            <w:r>
              <w:rPr>
                <w:rFonts w:ascii="Calibri" w:hAnsi="Calibri"/>
                <w:b/>
                <w:sz w:val="20"/>
              </w:rPr>
              <w:t>Määrä</w:t>
            </w:r>
          </w:p>
        </w:tc>
        <w:tc>
          <w:tcPr>
            <w:tcW w:type="dxa" w:w="4896"/>
            <w:shd w:fill="F2F4F7"/>
            <w:vAlign w:val="center"/>
          </w:tcPr>
          <w:p>
            <w:pPr>
              <w:spacing w:after="0"/>
            </w:pPr>
            <w:r/>
            <w:r>
              <w:rPr>
                <w:rFonts w:ascii="Calibri" w:hAnsi="Calibri"/>
                <w:b/>
                <w:sz w:val="20"/>
              </w:rPr>
              <w:t>Selite</w:t>
            </w:r>
          </w:p>
        </w:tc>
      </w:tr>
      <w:tr>
        <w:tc>
          <w:tcPr>
            <w:tcW w:type="dxa" w:w="3024"/>
            <w:vAlign w:val="center"/>
          </w:tcPr>
          <w:p>
            <w:pPr>
              <w:spacing w:after="0"/>
            </w:pPr>
            <w:r/>
            <w:r>
              <w:rPr>
                <w:rFonts w:ascii="Calibri" w:hAnsi="Calibri"/>
                <w:b w:val="0"/>
                <w:sz w:val="20"/>
              </w:rPr>
              <w:t>Tarkistettavat tuotteet</w:t>
            </w:r>
          </w:p>
        </w:tc>
        <w:tc>
          <w:tcPr>
            <w:tcW w:type="dxa" w:w="1440"/>
            <w:vAlign w:val="center"/>
          </w:tcPr>
          <w:p>
            <w:pPr>
              <w:spacing w:after="0"/>
            </w:pPr>
            <w:r/>
            <w:r>
              <w:rPr>
                <w:rFonts w:ascii="Calibri" w:hAnsi="Calibri"/>
                <w:b w:val="0"/>
                <w:sz w:val="20"/>
              </w:rPr>
              <w:t>1 033</w:t>
            </w:r>
          </w:p>
        </w:tc>
        <w:tc>
          <w:tcPr>
            <w:tcW w:type="dxa" w:w="4896"/>
            <w:vAlign w:val="center"/>
          </w:tcPr>
          <w:p>
            <w:pPr>
              <w:spacing w:after="0"/>
            </w:pPr>
            <w:r/>
            <w:r>
              <w:rPr>
                <w:rFonts w:ascii="Calibri" w:hAnsi="Calibri"/>
                <w:b w:val="0"/>
                <w:sz w:val="20"/>
              </w:rPr>
              <w:t>Noin 9,1 % kaikista päätuotteista analyysin jälkeen.</w:t>
            </w:r>
          </w:p>
        </w:tc>
      </w:tr>
      <w:tr>
        <w:tc>
          <w:tcPr>
            <w:tcW w:type="dxa" w:w="3024"/>
            <w:vAlign w:val="center"/>
          </w:tcPr>
          <w:p>
            <w:pPr>
              <w:spacing w:after="0"/>
            </w:pPr>
            <w:r/>
            <w:r>
              <w:rPr>
                <w:rFonts w:ascii="Calibri" w:hAnsi="Calibri"/>
                <w:b w:val="0"/>
                <w:sz w:val="20"/>
              </w:rPr>
              <w:t>Korkean varmuuden siirrot</w:t>
            </w:r>
          </w:p>
        </w:tc>
        <w:tc>
          <w:tcPr>
            <w:tcW w:type="dxa" w:w="1440"/>
            <w:vAlign w:val="center"/>
          </w:tcPr>
          <w:p>
            <w:pPr>
              <w:spacing w:after="0"/>
            </w:pPr>
            <w:r/>
            <w:r>
              <w:rPr>
                <w:rFonts w:ascii="Calibri" w:hAnsi="Calibri"/>
                <w:b w:val="0"/>
                <w:sz w:val="20"/>
              </w:rPr>
              <w:t>117</w:t>
            </w:r>
          </w:p>
        </w:tc>
        <w:tc>
          <w:tcPr>
            <w:tcW w:type="dxa" w:w="4896"/>
            <w:vAlign w:val="center"/>
          </w:tcPr>
          <w:p>
            <w:pPr>
              <w:spacing w:after="0"/>
            </w:pPr>
            <w:r/>
            <w:r>
              <w:rPr>
                <w:rFonts w:ascii="Calibri" w:hAnsi="Calibri"/>
                <w:b w:val="0"/>
                <w:sz w:val="20"/>
              </w:rPr>
              <w:t>Siirrettiin automaattisesti ehdotettuun ryhmään.</w:t>
            </w:r>
          </w:p>
        </w:tc>
      </w:tr>
      <w:tr>
        <w:tc>
          <w:tcPr>
            <w:tcW w:type="dxa" w:w="3024"/>
            <w:vAlign w:val="center"/>
          </w:tcPr>
          <w:p>
            <w:pPr>
              <w:spacing w:after="0"/>
            </w:pPr>
            <w:r/>
            <w:r>
              <w:rPr>
                <w:rFonts w:ascii="Calibri" w:hAnsi="Calibri"/>
                <w:b w:val="0"/>
                <w:sz w:val="20"/>
              </w:rPr>
              <w:t>Kohderyhmiä siirroissa</w:t>
            </w:r>
          </w:p>
        </w:tc>
        <w:tc>
          <w:tcPr>
            <w:tcW w:type="dxa" w:w="1440"/>
            <w:vAlign w:val="center"/>
          </w:tcPr>
          <w:p>
            <w:pPr>
              <w:spacing w:after="0"/>
            </w:pPr>
            <w:r/>
            <w:r>
              <w:rPr>
                <w:rFonts w:ascii="Calibri" w:hAnsi="Calibri"/>
                <w:b w:val="0"/>
                <w:sz w:val="20"/>
              </w:rPr>
              <w:t>10</w:t>
            </w:r>
          </w:p>
        </w:tc>
        <w:tc>
          <w:tcPr>
            <w:tcW w:type="dxa" w:w="4896"/>
            <w:vAlign w:val="center"/>
          </w:tcPr>
          <w:p>
            <w:pPr>
              <w:spacing w:after="0"/>
            </w:pPr>
            <w:r/>
            <w:r>
              <w:rPr>
                <w:rFonts w:ascii="Calibri" w:hAnsi="Calibri"/>
                <w:b w:val="0"/>
                <w:sz w:val="20"/>
              </w:rPr>
              <w:t>High-ehdotukset jakautuivat kymmeneen tuoteryhmäpolkuun.</w:t>
            </w:r>
          </w:p>
        </w:tc>
      </w:tr>
      <w:tr>
        <w:tc>
          <w:tcPr>
            <w:tcW w:type="dxa" w:w="3024"/>
            <w:vAlign w:val="center"/>
          </w:tcPr>
          <w:p>
            <w:pPr>
              <w:spacing w:after="0"/>
            </w:pPr>
            <w:r/>
            <w:r>
              <w:rPr>
                <w:rFonts w:ascii="Calibri" w:hAnsi="Calibri"/>
                <w:b w:val="0"/>
                <w:sz w:val="20"/>
              </w:rPr>
              <w:t>Manuaalisesti tarkistettavat</w:t>
            </w:r>
          </w:p>
        </w:tc>
        <w:tc>
          <w:tcPr>
            <w:tcW w:type="dxa" w:w="1440"/>
            <w:vAlign w:val="center"/>
          </w:tcPr>
          <w:p>
            <w:pPr>
              <w:spacing w:after="0"/>
            </w:pPr>
            <w:r/>
            <w:r>
              <w:rPr>
                <w:rFonts w:ascii="Calibri" w:hAnsi="Calibri"/>
                <w:b w:val="0"/>
                <w:sz w:val="20"/>
              </w:rPr>
              <w:t>906</w:t>
            </w:r>
          </w:p>
        </w:tc>
        <w:tc>
          <w:tcPr>
            <w:tcW w:type="dxa" w:w="4896"/>
            <w:vAlign w:val="center"/>
          </w:tcPr>
          <w:p>
            <w:pPr>
              <w:spacing w:after="0"/>
            </w:pPr>
            <w:r/>
            <w:r>
              <w:rPr>
                <w:rFonts w:ascii="Calibri" w:hAnsi="Calibri"/>
                <w:b w:val="0"/>
                <w:sz w:val="20"/>
              </w:rPr>
              <w:t>Ei riittävän vahvaa tekstiosumaa automaattiseen siirtoon.</w:t>
            </w:r>
          </w:p>
        </w:tc>
      </w:tr>
    </w:tbl>
    <w:p/>
    <w:p>
      <w:pPr>
        <w:pStyle w:val="Heading1"/>
      </w:pPr>
      <w:r>
        <w:t>7. Laadunvarmistus</w:t>
      </w:r>
    </w:p>
    <w:p>
      <w:pPr>
        <w:pStyle w:val="ListBullet"/>
        <w:spacing w:after="80"/>
      </w:pPr>
      <w:r>
        <w:t>Päätuotemäärä tarkistettiin product_id-tasolla: 11 381 uniikkia päätuotetta.</w:t>
      </w:r>
    </w:p>
    <w:p>
      <w:pPr>
        <w:pStyle w:val="ListBullet"/>
        <w:spacing w:after="80"/>
      </w:pPr>
      <w:r>
        <w:t>Variantit tunnistettiin erillisestä options-rakenteesta, eikä niitä laskettu tuoteryhmäpuun tuotteiksi.</w:t>
      </w:r>
    </w:p>
    <w:p>
      <w:pPr>
        <w:pStyle w:val="ListBullet"/>
        <w:spacing w:after="80"/>
      </w:pPr>
      <w:r>
        <w:t>Alimman tason minimikooksi asetettiin viisi tuotetta, jotta yksittäistuotteiden ryhmiä ei jäisi käyttöön.</w:t>
      </w:r>
    </w:p>
    <w:p>
      <w:pPr>
        <w:pStyle w:val="ListBullet"/>
        <w:spacing w:after="80"/>
      </w:pPr>
      <w:r>
        <w:t>Taso 2 ja taso 3 tarkistettiin niin, ettei sama otsikko toistu samassa polussa epäloogisesti.</w:t>
      </w:r>
    </w:p>
    <w:p>
      <w:pPr>
        <w:pStyle w:val="ListBullet"/>
        <w:spacing w:after="80"/>
      </w:pPr>
      <w:r>
        <w:t>Lopullisen Excelin Yhteenveto-välilehti päivitettiin laskemaan päätuotteita, ei variantteja.</w:t>
      </w:r>
    </w:p>
    <w:p>
      <w:pPr>
        <w:pStyle w:val="ListBullet"/>
        <w:spacing w:after="80"/>
      </w:pPr>
      <w:r>
        <w:t>PowerPoint-kooste päivitettiin käyttämään lähteenä Innoflame_tuoteryhmittely.csv-tiedostoa.</w:t>
      </w:r>
    </w:p>
    <w:p>
      <w:pPr>
        <w:pStyle w:val="Heading1"/>
      </w:pPr>
      <w:r>
        <w:t>8. Tuoteryhmittelyn tiedostot</w:t>
      </w:r>
    </w:p>
    <w:tbl>
      <w:tblPr>
        <w:tblW w:type="auto" w:w="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c>
          <w:tcPr>
            <w:tcW w:type="dxa" w:w="4896"/>
            <w:shd w:fill="F2F4F7"/>
            <w:vAlign w:val="center"/>
          </w:tcPr>
          <w:p>
            <w:pPr>
              <w:spacing w:after="0"/>
            </w:pPr>
            <w:r/>
            <w:r>
              <w:rPr>
                <w:rFonts w:ascii="Calibri" w:hAnsi="Calibri"/>
                <w:b/>
                <w:sz w:val="20"/>
              </w:rPr>
              <w:t>Tiedosto</w:t>
            </w:r>
          </w:p>
        </w:tc>
        <w:tc>
          <w:tcPr>
            <w:tcW w:type="dxa" w:w="4464"/>
            <w:shd w:fill="F2F4F7"/>
            <w:vAlign w:val="center"/>
          </w:tcPr>
          <w:p>
            <w:pPr>
              <w:spacing w:after="0"/>
            </w:pPr>
            <w:r/>
            <w:r>
              <w:rPr>
                <w:rFonts w:ascii="Calibri" w:hAnsi="Calibri"/>
                <w:b/>
                <w:sz w:val="20"/>
              </w:rPr>
              <w:t>Sisältö</w:t>
            </w:r>
          </w:p>
        </w:tc>
      </w:tr>
      <w:tr>
        <w:tc>
          <w:tcPr>
            <w:tcW w:type="dxa" w:w="4896"/>
            <w:vAlign w:val="center"/>
          </w:tcPr>
          <w:p>
            <w:pPr>
              <w:spacing w:after="0"/>
            </w:pPr>
            <w:r/>
            <w:r>
              <w:rPr>
                <w:rFonts w:ascii="Calibri" w:hAnsi="Calibri"/>
                <w:b w:val="0"/>
                <w:sz w:val="20"/>
              </w:rPr>
              <w:t>product_master_enrichment/final_product_grouping/Innoflame_tuoteryhmittely.xlsx</w:t>
            </w:r>
          </w:p>
        </w:tc>
        <w:tc>
          <w:tcPr>
            <w:tcW w:type="dxa" w:w="4464"/>
            <w:vAlign w:val="center"/>
          </w:tcPr>
          <w:p>
            <w:pPr>
              <w:spacing w:after="0"/>
            </w:pPr>
            <w:r/>
            <w:r>
              <w:rPr>
                <w:rFonts w:ascii="Calibri" w:hAnsi="Calibri"/>
                <w:b w:val="0"/>
                <w:sz w:val="20"/>
              </w:rPr>
              <w:t>Varsinainen Excel-tuoteryhmittely ja päätuotetason yhteenveto.</w:t>
            </w:r>
          </w:p>
        </w:tc>
      </w:tr>
      <w:tr>
        <w:tc>
          <w:tcPr>
            <w:tcW w:type="dxa" w:w="4896"/>
            <w:vAlign w:val="center"/>
          </w:tcPr>
          <w:p>
            <w:pPr>
              <w:spacing w:after="0"/>
            </w:pPr>
            <w:r/>
            <w:r>
              <w:rPr>
                <w:rFonts w:ascii="Calibri" w:hAnsi="Calibri"/>
                <w:b w:val="0"/>
                <w:sz w:val="20"/>
              </w:rPr>
              <w:t>product_master_enrichment/final_product_grouping/Innoflame_tuoteryhmittely.csv</w:t>
            </w:r>
          </w:p>
        </w:tc>
        <w:tc>
          <w:tcPr>
            <w:tcW w:type="dxa" w:w="4464"/>
            <w:vAlign w:val="center"/>
          </w:tcPr>
          <w:p>
            <w:pPr>
              <w:spacing w:after="0"/>
            </w:pPr>
            <w:r/>
            <w:r>
              <w:rPr>
                <w:rFonts w:ascii="Calibri" w:hAnsi="Calibri"/>
                <w:b w:val="0"/>
                <w:sz w:val="20"/>
              </w:rPr>
              <w:t>Sama tuoteryhmittely CSV-muodossa jatkokäsittelyä varten.</w:t>
            </w:r>
          </w:p>
        </w:tc>
      </w:tr>
      <w:tr>
        <w:tc>
          <w:tcPr>
            <w:tcW w:type="dxa" w:w="4896"/>
            <w:vAlign w:val="center"/>
          </w:tcPr>
          <w:p>
            <w:pPr>
              <w:spacing w:after="0"/>
            </w:pPr>
            <w:r/>
            <w:r>
              <w:rPr>
                <w:rFonts w:ascii="Calibri" w:hAnsi="Calibri"/>
                <w:b w:val="0"/>
                <w:sz w:val="20"/>
              </w:rPr>
              <w:t>outputs/Innoflame_tuoteryhmittely_kooste_paivitetty.pptx</w:t>
            </w:r>
          </w:p>
        </w:tc>
        <w:tc>
          <w:tcPr>
            <w:tcW w:type="dxa" w:w="4464"/>
            <w:vAlign w:val="center"/>
          </w:tcPr>
          <w:p>
            <w:pPr>
              <w:spacing w:after="0"/>
            </w:pPr>
            <w:r/>
            <w:r>
              <w:rPr>
                <w:rFonts w:ascii="Calibri" w:hAnsi="Calibri"/>
                <w:b w:val="0"/>
                <w:sz w:val="20"/>
              </w:rPr>
              <w:t>PowerPoint-kooste tuoteryhmäpuun rakenteesta ja keskeisistä havainnoista.</w:t>
            </w:r>
          </w:p>
        </w:tc>
      </w:tr>
      <w:tr>
        <w:tc>
          <w:tcPr>
            <w:tcW w:type="dxa" w:w="4896"/>
            <w:vAlign w:val="center"/>
          </w:tcPr>
          <w:p>
            <w:pPr>
              <w:spacing w:after="0"/>
            </w:pPr>
            <w:r/>
            <w:r>
              <w:rPr>
                <w:rFonts w:ascii="Calibri" w:hAnsi="Calibri"/>
                <w:b w:val="0"/>
                <w:sz w:val="20"/>
              </w:rPr>
              <w:t>outputs/product_grouping_summary/paatotuotteet_ryhmittain_yhteenveto.xlsx</w:t>
            </w:r>
          </w:p>
        </w:tc>
        <w:tc>
          <w:tcPr>
            <w:tcW w:type="dxa" w:w="4464"/>
            <w:vAlign w:val="center"/>
          </w:tcPr>
          <w:p>
            <w:pPr>
              <w:spacing w:after="0"/>
            </w:pPr>
            <w:r/>
            <w:r>
              <w:rPr>
                <w:rFonts w:ascii="Calibri" w:hAnsi="Calibri"/>
                <w:b w:val="0"/>
                <w:sz w:val="20"/>
              </w:rPr>
              <w:t>Erillinen päätuotemäärien yhteenveto ryhmittäin.</w:t>
            </w:r>
          </w:p>
        </w:tc>
      </w:tr>
      <w:tr>
        <w:tc>
          <w:tcPr>
            <w:tcW w:type="dxa" w:w="4896"/>
            <w:vAlign w:val="center"/>
          </w:tcPr>
          <w:p>
            <w:pPr>
              <w:spacing w:after="0"/>
            </w:pPr>
            <w:r/>
            <w:r>
              <w:rPr>
                <w:rFonts w:ascii="Calibri" w:hAnsi="Calibri"/>
                <w:b w:val="0"/>
                <w:sz w:val="20"/>
              </w:rPr>
              <w:t>outputs/product_grouping_summary/tarkistettavat_ryhma_analyysi.xlsx</w:t>
            </w:r>
          </w:p>
        </w:tc>
        <w:tc>
          <w:tcPr>
            <w:tcW w:type="dxa" w:w="4464"/>
            <w:vAlign w:val="center"/>
          </w:tcPr>
          <w:p>
            <w:pPr>
              <w:spacing w:after="0"/>
            </w:pPr>
            <w:r/>
            <w:r>
              <w:rPr>
                <w:rFonts w:ascii="Calibri" w:hAnsi="Calibri"/>
                <w:b w:val="0"/>
                <w:sz w:val="20"/>
              </w:rPr>
              <w:t>Tarkistettavat-ryhmän analyysi ja jatkokohdistusehdotukset.</w:t>
            </w:r>
          </w:p>
        </w:tc>
      </w:tr>
    </w:tbl>
    <w:p/>
    <w:p>
      <w:pPr>
        <w:pStyle w:val="Heading1"/>
      </w:pPr>
      <w:r>
        <w:t>9. Rajaukset ja jatkohuomiot</w:t>
      </w:r>
    </w:p>
    <w:p>
      <w:pPr>
        <w:pStyle w:val="ListBullet"/>
        <w:spacing w:after="80"/>
      </w:pPr>
      <w:r>
        <w:t>Tuoteryhmittely on tarkoitettu tuotepuun ja raportoinnin rakenteeksi päätuotetasolla.</w:t>
      </w:r>
    </w:p>
    <w:p>
      <w:pPr>
        <w:pStyle w:val="ListBullet"/>
        <w:spacing w:after="80"/>
      </w:pPr>
      <w:r>
        <w:t>Variantit perivät päätuotteen tuoteryhmän, koska varianttiriveillä ei ole omaa tuoteryhmäkenttää tuotemasterissa.</w:t>
      </w:r>
    </w:p>
    <w:p>
      <w:pPr>
        <w:pStyle w:val="ListBullet"/>
        <w:spacing w:after="80"/>
      </w:pPr>
      <w:r>
        <w:t>Tarkistettavat-ryhmään jääneet tuotteet vaativat sisällöllistä läpikäyntiä, jos niille halutaan tarkempi kohdistus.</w:t>
      </w:r>
    </w:p>
    <w:p>
      <w:pPr>
        <w:pStyle w:val="ListBullet"/>
        <w:spacing w:after="80"/>
      </w:pPr>
      <w:r>
        <w:t>Uusien tuotteiden luokittelussa kannattaa ylläpitää samoja sääntöjä ja täydentää avainsanoja niistä tapauksista, jotka nyt jäivät manuaaliseen tarkistukseen.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Innoflame tuoteryhmittely - menetelmäkuvaus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