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Los requerimientos no funcionales pueden ser: Restricciones, Atributos de calidad, objetivos de calidad, requerimientos de calidad de servicio.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Eficiencia: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ser capaz de procesar N transacciones por segundo.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Toda funcionalidad del sistema y transacción de negocio debe responder al usuario de forma eficiente con el mínimo margen de error.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ser capaz de operar adecuadamente con hasta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usuarios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con sesiones activas.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Los datos modificados en la base de datos deben ser actualizados para todos los usuarios.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Seguridad lógica y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Los permisos de acceso al sistema podrán ser cambiados solamente por el administrador de acceso a datos.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nuevo sistema debe desarrollarse aplicando a las reglas de la empresa, como confidencia de datos de personal, de donantes y beneficiarios.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de tener un respaldo en caso de alguna falla de seguridad. 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Si se identifican ataques de seguridad o brecha del sistema, el mismo no continuará operando hasta ser desbloqueado por un administrador de seguridad.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tiempo de aprendizaje del sistema por un usuario deberá ser menor a 2 horas.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contar con una usabilidad amigable gracias a una buena interfaz y guía.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proporcionar mensajes de error que sean informativos y orientados a usuario final.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aplicación web debe ser responsiva a fin de garantizar la adecuada visualización en múltiples dispositivos.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poseer interfaces gráficas bien formadas.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Dependabilidad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tener una disponibilidad del 99,99% de las veces en que un usuario intente acceder a 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Requerimientos de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será desarrollado para las plataformas PCs 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página web será desarrollada para PCs y dispositivos móviles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aplicación debe ser compatible con las últimas versiones de Chrome, Firefox,Opera, Safari y Microsoft Edge.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nueva aplicación solo será en español.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 interfaz de usuario será implementada para navegadores web únicamente con HTML5, CSS y JavaScript, con framework Materialize.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Requerimientos no funcionales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Sistemas de datos médicos: El nuevo sistema y sus procedimientos de mantenimiento de datos deben cumplir con las leyes y reglamentos de protección de datos médicos.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="335.99999999999994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no revelara a sus operadores otros datos personales de los clientes distintos a nombres y números de referencia.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335.99999999999994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20" w:line="335.99999999999994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