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2B4C"/>
        </w:rPr>
        <w:t xml:space="preserve">Questions ouvertes à arbitrer avec Pierre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But.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Liste consolidée des inputs et décisions qui ne peuvent pas être tranchés sans Pierre — extraits de tous les artefacts planning (PROJECT.md, REQUIREMENTS.md, ROADMAP.md, CONTEXT/PLAN/SUMMARY de Phase 1, recherche). À parcourir lors d'une session dédiée.</w:t>
      </w:r>
    </w:p>
    <w:p>
      <w:pPr>
        <w:spacing w:after="87"/>
      </w:pPr>
      <w:r>
        <w:rPr>
          <w:rFonts w:ascii="Helvetica Neue" w:hAnsi="Helvetica Neue" w:cs="Helvetica Neue"/>
          <w:sz w:val="24"/>
          <w:sz-cs w:val="24"/>
          <w:b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bloquant la mise en ligne (cutover Phase 1)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>
        <w:spacing w:after="87"/>
      </w:pPr>
      <w:r>
        <w:rPr>
          <w:rFonts w:ascii="Helvetica Neue" w:hAnsi="Helvetica Neue" w:cs="Helvetica Neue"/>
          <w:sz w:val="24"/>
          <w:sz-cs w:val="24"/>
          <w:b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bloquant pour démarrer une phase ultérieure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>
        <w:spacing w:after="87"/>
      </w:pPr>
      <w:r>
        <w:rPr>
          <w:rFonts w:ascii="Helvetica Neue" w:hAnsi="Helvetica Neue" w:cs="Helvetica Neue"/>
          <w:sz w:val="24"/>
          <w:sz-cs w:val="24"/>
          <w:b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non bloquant, mais à arbitrer avant la phase concernée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>
        <w:spacing w:after="87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pas d'urgence, mais oriente la suite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0 — Cohérence à régler en premier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0.1 — WhatsApp Business sur +596 696 94 00 54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Identité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Vérifier que le numéro est bien un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WhatsApp Business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(vs ligne mobile simple). Phase 4 a besoin d'un compte Meta Business attaché à ce numéro pour valider les templates.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0.2 — Alias notifications@ séparé ou tout part de contact@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Email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contact@dloazurpiscines.com est utilisé partout. Pour Phase 4 : un alias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notifications@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pour les compte-rendus + rappels permet meilleur tracking + segmentation. Sinon tout part de contact@.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1 — Phase 1 (Vitrine &amp; Fondations) — avant cutover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1.1 — Photos réelles à fournir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Contenu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Sources réelles uniquement (PRODUCT.md rejette le stock tropical) :</w:t>
      </w:r>
    </w:p>
    <w:p>
      <w:pPr>
        <w:ind w:left="720" w:first-line="-720"/>
        <w:spacing w:after="58"/>
      </w:pPr>
      <w:r>
        <w:rPr>
          <w:rFonts w:ascii="Menlo" w:hAnsi="Menlo" w:cs="Menlo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hero-pierre-piscine.jpg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— Pierre au travail (hero + OG image)</w:t>
      </w:r>
    </w:p>
    <w:p>
      <w:pPr>
        <w:ind w:left="720" w:first-line="-720"/>
        <w:spacing w:after="58"/>
      </w:pPr>
      <w:r>
        <w:rPr>
          <w:rFonts w:ascii="Menlo" w:hAnsi="Menlo" w:cs="Menlo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pierre-portrait.jpg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— bio « Le pisciniste »</w:t>
      </w:r>
    </w:p>
    <w:p>
      <w:pPr>
        <w:ind w:left="720" w:first-line="-720"/>
        <w:spacing w:after="58"/>
      </w:pPr>
      <w:r>
        <w:rPr>
          <w:rFonts w:ascii="Menlo" w:hAnsi="Menlo" w:cs="Menlo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entretien-dos-logo.jpg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— Pierre dos avec logo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4 à 6 photos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réalisations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(avant/après, interventions notables)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1 à 2 photos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hospitalité B2B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(conciergerie / location saisonnière)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1.2 — Mentions légales : contenu à compléter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Légal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À renseigner dans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vitrine/mentions-legales.blade.php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SIRET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RCS ou RM (artisan ?) + ville d'immatriculation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Adresse pro (siège déclaré URSSAF)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Code APE (probablement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81.29B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autres activités de nettoyage)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Hébergeur à mentionner : Laravel Cloud (Mastodon Capital Inc., Frankfurt) + Cloudflare R2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1.3 — Mention TVA art. 293 B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Légal / TVA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Auto-entrepreneur confirmé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→ mention obligatoire «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81F26"/>
        </w:rPr>
        <w:t xml:space="preserve">TVA non applicable, art. 293 B du CGI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» sur CGV + futures factures. Pas de colonne TVA dans le PDF facture. Pas de N° TVA intracommunautaire à renseigner.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Question résiduelle :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quel est ton CA actuel pour anticiper le franchissement du seuil ? (Franchise en base 2026 : 36 800 € prestations services, tolérance 39 100 €. À 10 passages/semaine × ~80 € × 50 sem ≈ 40 000 € → tu es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81F26"/>
        </w:rPr>
        <w:t xml:space="preserve">juste à la limite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. À monitorer.)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1.4 — Valeur exacte « À partir de XX€/passage »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Tarif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Décision D-32 : tarif d'entrée affiché en hero + section services. Variable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PRICING_PASSAGE_STARTING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(default 80 €). Suggestion : prix d'entrée pour piscine standard 30 m³, accès simple.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1.5 — Avis Google : fournir GOOGLE_PLACES_API_KEY + GOOGLE_PLACE_ID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Avis Google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Créer une clé Google Cloud Console (API Places activée + restriction IP côté Laravel Cloud). Récupérer le Place ID via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81F26"/>
        </w:rPr>
        <w:t xml:space="preserve">Place ID Finder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pour la fiche Google Business de Dlo Azur. Si non fourni : la section avis se masque toute seule (graceful), mais on perd un levier de social proof.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1.6 — Activer DNS Brevo sur Hostinger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Email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Renseigner sur la zone DNS de dloazurpiscines.com (Hostinger) :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DKIM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(clé fournie par Brevo dans Settings &gt; Senders &amp; IPs)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SPF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v=spf1 include:spf.brevo.com ~all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DMARC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v=DMARC1; p=none; rua=mailto:contact@dloazurpiscines.com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Une fois Brevo dashboard passe « Active » : flip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MAIL_MAILER=log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→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brevo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dans Laravel Cloud (carry-over #4).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1.7 — Sous-domaine staging : preprod.* ou URL Laravel Cloud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Staging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Aujourd'hui staging tourne sur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dloazur-main-s8e8er.laravel.cloud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(Option B, zéro friction).</w:t>
        <w:br/>
        <w:t xml:space="preserve">Option A :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preprod.dloazurpiscines.com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(CNAME à ajouter) — meilleure UX, plus sérieux.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1.8 — Date cutover Zyro → Laravel Cloud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DNS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D-24/D-25 : acte opérationnel piloté par Pierre.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Inventaire URLs Zyro indexées (export Google Search Console ou audit manuel)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Date à fixer (suggestion : milieu de semaine, hors saison haute)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TTL DNS baissé à 300 s 24 h avant le switch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Accès Hostinger DNS prêt et confirmé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1.9 — Upgrade Postgres Dev → Prod tier (~10-15 €/mois)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Infra coût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Dev tier hiberne à 300 s et n'a pas de backups. Prod tier active PITR 7 jours. Total estimé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Laravel Cloud + Postgres Prod ≈ 20-25 €/mois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. OK pour ce coût récurrent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1.10 — Rotation secrets exposés en session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1 · Sécurité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Carry-overs #1 + #2 du Summary 01-01 :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DB_PASSWORD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+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LARAVEL_CLOUD_API_TOKEN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ont transité par des transcripts session. À rotater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avant toute donnée client réelle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. Aucune action UX requise côté Pierre — info à savoir.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2 — Phase 2 (MVP suivi offline-first)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2.1 — Combien de clients actifs + comment importer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2 · Clients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PROJECT.md indique ~10 clients à l'année. Fichier client existant quelque part (Excel, Numbers, contacts iPhone, Odoo) ? Stratégie d'import : template CSV ? Saisie manuelle accompagnée ? Migration depuis Odoo si plan le permet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2.2 — Données piscines à saisir par client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2 · Piscines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Par piscine 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volume (m³)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type filtration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(sable / cartouche / diatomée),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type traitement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(chlore / sel / brome),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équipements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(PAC, projecteur, surpresseur), adresse, photo si possible. Saisie initiale ou progressive lors des premiers passages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2.3 — Magic link client : expiration + utilisations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2 · Auth client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Durée d'expiration : 24 h / 7 jours / 30 jours ? Nombre max d'utilisations : illimité (recommandé) ou borné ? Email automatique de bienvenue à activer pour envoyer le 1er lien aux clients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2.4 — Format téléphone client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2 · WhatsApp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Stocker au format international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+596 …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par défaut et autoriser override manuel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2.5 — Nombre de photos par passage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2 · Photos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Estimation actuelle 2-5 photos par passage. Impact stockage R2 négligeable (free tier couvre 250 ans à ce rythme). À confirmer.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3 — Phase 3 (Facturation &amp; Odoo)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⚠ Divergence ROADMAP à corriger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Phase 3 success criterion #3 mentionne « TVA 8,5 % ». Or Pierre est en franchise en base (art. 293 B)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pas de TVA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. À corriger dans ROADMAP.md + REQUIREMENTS.md (FACT-03) au moment de discuter Phase 3. Le modèle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factures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doit malgré tout prévoir une colonne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tva_taux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nullable pour anticiper le franchissement du seuil.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3.1 — Plan Odoo actuel (Custom 29,90 €/user ou inférieur)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3 · Odoo · bloquant Phase 3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Custom → API XML-RPC accessible → intégration directe (FACT-04). Plan inférieur → pont CSV (export Odoo → import Laravel). À vérifier dans le back-office Odoo.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3.2 — Numérotation factures : continuer Odoo ou redémarrer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3 · Facturation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Article 242 nonies A du CGI impose une séquence ininterrompue. Si factures déjà émises sous Dlo Azur → on continue la séquence. Si non → on redémarre (ex :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DLA-2026-001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3.3 — Catalogue produits + services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3 · Catalogue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Prestations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entretien, dépannage filtration, traitement choc, hivernage, mise en service…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Produits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chlore lent, choc, anti-algues, sel, tablettes, floculant…</w:t>
        <w:br/>
        <w:t xml:space="preserve">Extraction Odoo possible ou ressaisie manuelle ? Prix unitaires + tarif horaire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3.4 — Modèles de contrats forfait existants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3 · Contrats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Forfait mensuel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montant + inclusions (X passages/mois) ?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Forfait saisonnier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période + montant ?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Ponctuel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tarif passage + suppléments éventuels (déplacement zone éloignée, traitement choc…)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3.5 — Niveau signature électronique requis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3 · Signature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Recommandation 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signature simple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(image base64 + timestamp + IP + hash PDF). Suffit légalement en France pour un compte-rendu de passage. eIDAS niveau avancé non recommandé (coût + friction).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3.6 — Compte Stripe pro existant et KYC validé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3 · Stripe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Anticipation Phase 3 (paiement portail v2) + Phase 5 (diagnostic commercialisable). KYC = vérification IBAN + pièce d'identité, 1-3 jours.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4 — Phase 4 (Notifications)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4.1 — Notifications WhatsApp auto utiles, ou email seul suffit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WhatsApp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Aujourd'hui CTA WhatsApp manuel (boutons partout). NOTIF-03 ajouterait des notifications auto sortantes (compte-rendu + rappel J-1) via WhatsApp. Coût Meta : 0,015-0,07 €/msg selon template. Lead time approbation Meta : 1-5 jours ouvrés.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4.2 — Compte Meta Business déjà créé sur ton numéro pro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WhatsApp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Différent du WhatsApp Business simple (app gratuite) — c'est l'accès API. Création + vérification compte Meta Business prennent ~1 semaine pour un BSP / Cloud API si pas déjà fait.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4.3 — Vendor WhatsApp : Brevo, Twilio ou Meta directe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WhatsApp vendor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Brevo WhatsApp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même vendor que l'email, single dashboard, ~0,03 €/msg.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Twilio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~0,005 €/msg, dashboard séparé.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Meta Cloud API directe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gratuit, mais setup technique.</w:t>
        <w:br/>
        <w:t xml:space="preserve">Recommandation : Brevo par défaut.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4.4 — Textes des templates WhatsApp à approuver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Templates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2 templates à soumettre à Meta pour approbation.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Compte-rendu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« Bonjour {{1}}, votre passage du {{2}} est terminé. Compte-rendu disponible : {{3}}. — Pierre, Dlo Azur Piscines » (variables : nom, date, lien portail)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Rappel J-1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« Bonjour {{1}}, petit rappel : passage prévu demain {{2}} chez vous. À demain ! — Pierre » (variables : nom, date)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Texte exact à valider.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4.5 — Heure d'envoi du rappel J-1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Rappel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Recommandation 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18 h locale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(UTC-4 Martinique), la veille — fin de journée, lu avant la nuit. Autres options : 8 h le matin de la veille.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4.6 — Pierre destinataire du rappel J-1 aussi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Rappel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NOTIF-02 dit « le pro et le client ». Tu reçois aussi un récap digest de ta journée du lendemain (liste passages + adresses) ? Sous quelle forme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4.7 — Livraison compte-rendu : PJ PDF ou lien portail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Compte-rendu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PJ PDF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autonome, persiste dans la boîte mail (clients pas tech).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Lien magique vers portail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révocable, tracking, RGPD-friendly.</w:t>
        <w:br/>
        <w:t xml:space="preserve">Recommandation 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les deux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(lien tracké + PDF joint rassurant).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4.8 — Mécanisme désinscription notifs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4 · Opt-out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RGPD : compte-rendu = transactionnel, exempt d'opt-in, mais lien de désinscription recommandé. Toggle dans la fiche client côté admin par Pierre ? WhatsApp : Meta exige un opt-out STOP automatisé.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5 — Phase 5 (Diagnostic commercialisable)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5.1 — Texte exact du disclaimer dosage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5 · Légal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DIAG-03 : disclaimer obligatoire avant tout conseil de dosage chimique. Validation idéale par avocat ou modèle issu d'un site équivalent. Affichage modale d'entrée + checkbox d'acceptation explicite.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5.2 — Stripe piste A (abonnement particulier) : prix + inclusions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5 · Stripe A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Prix mensuel (ex : 4,90 €/mois suivi illimité) ? Combien de diagnostics inclus ? Historique conservé combien de temps ? Période d'essai gratuite (7 jours)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5.3 — Stripe piste B (upsell premium client) : prix + inclusions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5 · Stripe B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Prix one-shot ? Différenciateur vs version gratuite : doses plus précises, calendrier perso, photos avant/après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5.4 — Arbre de décision diagnostic : où est la logique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5 · Diagnostic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Issue de la maquette React jetée. Archivée dans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docs/superpowers/specs/2026-05-27-dloazur-refonte-design.md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? À vérifier. Sinon : description orale → JSON dans </w:t>
      </w:r>
      <w:r>
        <w:rPr>
          <w:rFonts w:ascii="Menlo" w:hAnsi="Menlo" w:cs="Menlo"/>
          <w:sz w:val="29"/>
          <w:sz-cs w:val="29"/>
          <w:spacing w:val="0"/>
          <w:color w:val="181F26"/>
        </w:rPr>
        <w:t xml:space="preserve">config/diagnostic.php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. Cas couverts : eau verte, eau trouble, eau marron, problème filtration, problème électrolyseur — combien et lesquels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5.5 — Formules de calcul de doses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Phase 5 · Diagnostic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Formules par produit : en tête de Pierre ou écrites quelque part ? Validation chimique : Pierre seul, consultant chimiste, ou fournisseur pro de produits ? Produits référencés en générique (« 25 g/m³ de chlore choc ») ou nominatif (« 2 sachets HTH Shock »)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6 — Identité légale, contenu et conformité (transverse)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6.1 — Identité Dlo Azur Piscines : SIRET + RCS + APE + adresse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0E16"/>
        </w:rPr>
        <w:t xml:space="preserve">URGENT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Identité légale · cutover-bloquant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Statut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EI / auto-entrepreneur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confirmé. À fournir :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SIRET / SIREN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RCS ou RM (artisan ?) + ville d'immatriculation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Adresse pro (siège déclaré URSSAF)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Code APE / NAF (probablement 81.29B autres activités de nettoyage)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i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i/>
          <w:spacing w:val="0"/>
          <w:color w:val="181F26"/>
        </w:rPr>
        <w:t xml:space="preserve">Capital social : n/a en EI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i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i/>
          <w:spacing w:val="0"/>
          <w:color w:val="181F26"/>
        </w:rPr>
        <w:t xml:space="preserve">N° TVA intracommunautaire : n/a (franchise en base art. 293 B)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6.2 — Logo vectoriel SVG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Branding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Une version vectorielle SVG existe (hors raster JPG/PNG des supports print) ? Charte couleurs déjà validée — azure #0080ff + marine + turquoise — pas de changement prévu.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6.3 — Politique de confidentialité : rédacteur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Légal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Pages stub à rédiger : RGPD, droits utilisateur, cookies (zéro cookie tiers = mention courte suffit). Rédacteur : Pierre seul / avec assistance / modèle CNIL ?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6.4 — CGV diagnostic à rédiger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87380A"/>
        </w:rPr>
        <w:t xml:space="preserve">IMPORTANT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Légal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Spécifique Phase 5 : vente de prestations en ligne via Stripe = obligation légale. Distinct des CGV générales d'entretien.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6.5 — DPA fournisseurs à demander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RGPD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À demander / vérifier :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Brevo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DPA accessible dans le dashboard (Settings &gt; Privacy)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Cloudflare R2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DPA téléchargeable, accord signable par Pierre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Laravel Cloud (Mastodon Capital)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DPA à demander à support@laravel.cloud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Stripe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(Phase 5) : DPA dans Settings &gt; Compliance</w:t>
      </w:r>
    </w:p>
    <w:p>
      <w:pPr>
        <w:ind w:left="720" w:first-line="-720"/>
        <w:spacing w:after="58"/>
      </w:pPr>
      <w:r>
        <w:rPr>
          <w:rFonts w:ascii="Helvetica Neue" w:hAnsi="Helvetica Neue" w:cs="Helvetica Neue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Google Places API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Terms standard, pas de DPA séparé pour ce volume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6.6 — Hébergeur DNS : Hostinger ou migrer Cloudflare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705002"/>
        </w:rPr>
        <w:t xml:space="preserve">À CLARIFIER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Transverse · DNS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Aujourd'hui DNS chez Hostinger (hérité Zyro). Hostinger : zéro friction, panel basique. Cloudflare DNS (gratuit) : meilleur panel, anycast plus rapide. Recommandation : rester Hostinger en Phase 1, évaluer Cloudflare plus tard si besoin.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2B4C"/>
        </w:rPr>
        <w:t xml:space="preserve">7 — Roadmap : décisions stratégiques</w:t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7.1 — Paralléliser Phase 4 avec Phase 2-3 ?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Roadmap · Ordre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Phase 4 dépend de Phase 3 (PDF compte-rendu). Mais lead time approbation Meta (1-5 jours) pourrait justifier de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lancer en parallèle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de Phase 2 la création compte Meta Business + soumission templates. Quand Phase 3 livre le PDF, Phase 4 peut envoyer dès J+1.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7.2 — Articles de blog initiaux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Roadmap · Blog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D-10/D-11 : blog markdown-in-repo, ~3-6 articles/an. Pierre rédige seul ou avec assistance ? Sujets initiaux possibles : « Eau verte : que faire ? », « Choisir son traitement chlore vs sel », « Hivernage piscine en Martinique »…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9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3A66"/>
        </w:rPr>
        <w:t xml:space="preserve">7.3 — Saisonnalité Martinique</w:t>
      </w:r>
    </w:p>
    <w:p>
      <w:pPr>
        <w:spacing w:after="151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17316D"/>
        </w:rPr>
        <w:t xml:space="preserve">STRATÉGIQUE</w:t>
      </w:r>
      <w:r>
        <w:rPr>
          <w:rFonts w:ascii="Helvetica Neue" w:hAnsi="Helvetica Neue" w:cs="Helvetica Neue"/>
          <w:sz w:val="25"/>
          <w:sz-cs w:val="25"/>
          <w:i/>
          <w:spacing w:val="0"/>
          <w:color w:val="485867"/>
        </w:rPr>
        <w:t xml:space="preserve"> Roadmap · Saisonnalité</w:t>
      </w:r>
    </w:p>
    <w:p>
      <w:pPr>
        <w:spacing w:after="175"/>
      </w:pP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Climat tropical = pas de morte-saison. Mais 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pic d'algues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(saison humide juillet-octobre) → marketing « Traitement eau verte d'urgence ».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F26"/>
        </w:rPr>
        <w:t xml:space="preserve">Tourisme hospitalité B2B</w:t>
      </w:r>
      <w:r>
        <w:rPr>
          <w:rFonts w:ascii="Helvetica Neue" w:hAnsi="Helvetica Neue" w:cs="Helvetica Neue"/>
          <w:sz w:val="29"/>
          <w:sz-cs w:val="29"/>
          <w:spacing w:val="0"/>
          <w:color w:val="181F26"/>
        </w:rPr>
        <w:t xml:space="preserve"> : pic décembre-avril → CTA conciergeries à booster à ce moment.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>RÉPONSE PIERRE</w:t>
      </w:r>
      <w:r>
        <w:rPr>
          <w:rFonts w:ascii="Helvetica Neue" w:hAnsi="Helvetica Neue" w:cs="Helvetica Neue"/>
          <w:sz w:val="25"/>
          <w:sz-cs w:val="25"/>
          <w:b/>
          <w:spacing w:val="0"/>
          <w:color w:val="585E6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>À compléter…</w:t>
      </w:r>
      <w:r>
        <w:rPr>
          <w:rFonts w:ascii="Helvetica Neue" w:hAnsi="Helvetica Neue" w:cs="Helvetica Neue"/>
          <w:sz w:val="29"/>
          <w:sz-cs w:val="29"/>
          <w:i/>
          <w:spacing w:val="0"/>
          <w:color w:val="A1A9B4"/>
        </w:rPr>
        <w:t xml:space="preserve"/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485867"/>
        </w:rPr>
        <w:t xml:space="preserve">Document généré automatiquement depuis </w:t>
      </w:r>
      <w:r>
        <w:rPr>
          <w:rFonts w:ascii="Menlo" w:hAnsi="Menlo" w:cs="Menlo"/>
          <w:sz w:val="25"/>
          <w:sz-cs w:val="25"/>
          <w:spacing w:val="0"/>
          <w:color w:val="485867"/>
        </w:rPr>
        <w:t xml:space="preserve">.planning/</w:t>
      </w:r>
      <w:r>
        <w:rPr>
          <w:rFonts w:ascii="Helvetica Neue" w:hAnsi="Helvetica Neue" w:cs="Helvetica Neue"/>
          <w:sz w:val="25"/>
          <w:sz-cs w:val="25"/>
          <w:spacing w:val="0"/>
          <w:color w:val="485867"/>
        </w:rPr>
        <w:t xml:space="preserve"> le 2026-05-28. Mettre à jour à chaque réponse de Pierre. Source maître : </w:t>
      </w:r>
      <w:r>
        <w:rPr>
          <w:rFonts w:ascii="Menlo" w:hAnsi="Menlo" w:cs="Menlo"/>
          <w:sz w:val="25"/>
          <w:sz-cs w:val="25"/>
          <w:spacing w:val="0"/>
          <w:color w:val="485867"/>
        </w:rPr>
        <w:t xml:space="preserve">.planning/QUESTIONS-PIERRE.md</w:t>
      </w:r>
      <w:r>
        <w:rPr>
          <w:rFonts w:ascii="Helvetica Neue" w:hAnsi="Helvetica Neue" w:cs="Helvetica Neue"/>
          <w:sz w:val="25"/>
          <w:sz-cs w:val="25"/>
          <w:spacing w:val="0"/>
          <w:color w:val="485867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