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TrustLens Project Workflow and Interview Guide</w:t>
      </w:r>
    </w:p>
    <w:p>
      <w:pPr>
        <w:spacing w:after="360"/>
      </w:pPr>
      <w:r>
        <w:rPr>
          <w:color w:val="4A5263"/>
          <w:sz w:val="22"/>
        </w:rPr>
        <w:t>A current technical and product guide for explaining the implementation, the user experience, and the deployment choices.</w:t>
      </w:r>
    </w:p>
    <w:p>
      <w:r>
        <w:t>TrustLens is an evidence-first workspace for working with a user's own documents. It ingests notes and text-based files into a private workspace, extracts structured signals, and returns answers with linked claims, evidence, source authority, contradictions, and uncertainty. The most important distinction is that a fluent answer is not treated as proof: the interface keeps the supporting record available for review.</w:t>
      </w:r>
    </w:p>
    <w:p>
      <w:pPr>
        <w:pStyle w:val="Heading1"/>
      </w:pPr>
      <w:r>
        <w:t>What the project does</w:t>
      </w:r>
    </w:p>
    <w:tbl>
      <w:tblPr>
        <w:tblStyle w:val="TableGrid"/>
        <w:tblW w:type="auto" w:w="0"/>
        <w:tblLayout w:type="fixed"/>
        <w:tblLook w:firstColumn="1" w:firstRow="1" w:lastColumn="0" w:lastRow="0" w:noHBand="0" w:noVBand="1" w:val="04A0"/>
      </w:tblPr>
      <w:tblGrid>
        <w:gridCol w:w="3331"/>
        <w:gridCol w:w="3331"/>
        <w:gridCol w:w="3331"/>
      </w:tblGrid>
      <w:tr>
        <w:tc>
          <w:tcPr>
            <w:tcW w:type="dxa" w:w="2160"/>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Need</w:t>
            </w:r>
          </w:p>
        </w:tc>
        <w:tc>
          <w:tcPr>
            <w:tcW w:type="dxa" w:w="3816"/>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TrustLens behavior</w:t>
            </w:r>
          </w:p>
        </w:tc>
        <w:tc>
          <w:tcPr>
            <w:tcW w:type="dxa" w:w="3816"/>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What the user sees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Bring scattered sources together</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Stores workspace documents, chunks, entities, events, claims, and rules in a relational knowledge model.</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 source register with document ID, authority level, and ingestion status.</w:t>
            </w:r>
          </w:p>
        </w:tc>
      </w:tr>
      <w:tr>
        <w:tc>
          <w:tcPr>
            <w:tcW w:type="dxa" w:w="21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Ask a grounded question</w:t>
            </w:r>
          </w:p>
        </w:tc>
        <w:tc>
          <w:tcPr>
            <w:tcW w:type="dxa" w:w="38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Plans a workspace analysis, retrieves relevant evidence, and produces a synthesis contract.</w:t>
            </w:r>
          </w:p>
        </w:tc>
        <w:tc>
          <w:tcPr>
            <w:tcW w:type="dxa" w:w="38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 synthesis with evidence and atomic claim tabs.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Audit the record</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Detects health signals, gaps, contradictions, and temporal or entity relationships.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Evidence health, review queue, knowledge map, and timeline views.</w:t>
            </w:r>
          </w:p>
        </w:tc>
      </w:tr>
      <w:tr>
        <w:tc>
          <w:tcPr>
            <w:tcW w:type="dxa" w:w="21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Return later</w:t>
            </w:r>
          </w:p>
        </w:tc>
        <w:tc>
          <w:tcPr>
            <w:tcW w:type="dxa" w:w="38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Uses Postgres when DATABASE_URL is configured; otherwise local SQLite is used for development.</w:t>
            </w:r>
          </w:p>
        </w:tc>
        <w:tc>
          <w:tcPr>
            <w:tcW w:type="dxa" w:w="38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Storage state reported by the API; durable storage is explicit rather than implied.</w:t>
            </w:r>
          </w:p>
        </w:tc>
      </w:tr>
    </w:tbl>
    <w:p>
      <w:pPr>
        <w:spacing w:after="60"/>
      </w:pPr>
    </w:p>
    <w:p>
      <w:pPr>
        <w:pStyle w:val="Heading1"/>
      </w:pPr>
      <w:r>
        <w:t>Current implementation at a glance</w:t>
      </w:r>
    </w:p>
    <w:p>
      <w:pPr>
        <w:pStyle w:val="ListBullet"/>
        <w:spacing w:after="60"/>
      </w:pPr>
      <w:r>
        <w:t>Frontend: React 18, Vite, Tailwind CSS, Clerk client integration, Lucide icons, and Framer Motion.</w:t>
      </w:r>
    </w:p>
    <w:p>
      <w:pPr>
        <w:pStyle w:val="ListBullet"/>
        <w:spacing w:after="60"/>
      </w:pPr>
      <w:r>
        <w:t>Backend: FastAPI with workspace-scoped routes, validation models, CORS controls, and production JWT enforcement.</w:t>
      </w:r>
    </w:p>
    <w:p>
      <w:pPr>
        <w:pStyle w:val="ListBullet"/>
        <w:spacing w:after="60"/>
      </w:pPr>
      <w:r>
        <w:t>Knowledge storage: SQLite for local development; a shared durable Postgres database when DATABASE_URL is present.</w:t>
      </w:r>
    </w:p>
    <w:p>
      <w:pPr>
        <w:pStyle w:val="ListBullet"/>
        <w:spacing w:after="60"/>
      </w:pPr>
      <w:r>
        <w:t>AI boundary: OpenAI is used lazily for generation, embeddings, and NLI-style verification when configured. Deterministic fallback behavior keeps basic paths available when the provider is unavailable.</w:t>
      </w:r>
    </w:p>
    <w:p>
      <w:pPr>
        <w:pStyle w:val="ListBullet"/>
        <w:spacing w:after="60"/>
      </w:pPr>
      <w:r>
        <w:t>Deployment: Dockerized FastAPI service on Render and independently deployed Vite SPA on Vercel.</w:t>
      </w:r>
    </w:p>
    <w:p>
      <w:r>
        <w:br w:type="page"/>
      </w:r>
    </w:p>
    <w:p>
      <w:pPr>
        <w:pStyle w:val="Heading1"/>
      </w:pPr>
      <w:r>
        <w:t>End to end user workflow</w:t>
      </w:r>
    </w:p>
    <w:p>
      <w:r>
        <w:t>1. Authentication and workspace selection. On load, the frontend obtains the Clerk user and token when Clerk is configured. It sets the API context, checks service health, retrieves storage information, and lists only the workspaces owned by that user. In local development, the backend supports an explicit development mode for a test user header.</w:t>
      </w:r>
    </w:p>
    <w:p>
      <w:r>
        <w:t>2. Source ingestion. A user adds direct text or selects a supported text-based file. The frontend submits title, filename, raw content, file type, and declared authority to POST /api/workspaces/{workspace_id}/documents. The response returns the document identifier, authority level, chunk count, and ingestion status. The UI refreshes the document library and the broader workspace context immediately after a successful ingestion.</w:t>
      </w:r>
    </w:p>
    <w:p>
      <w:r>
        <w:t>3. Workspace enrichment. The ingestion path stores the document and its chunks, derives claims, recognizes entities, anchors temporal events where possible, and creates evidence links. The document's authority is kept with the source so it can be surfaced in the source register and answer review.</w:t>
      </w:r>
    </w:p>
    <w:p>
      <w:r>
        <w:t>4. Analysis request. The user asks a question from the evidence desk. The frontend posts it to POST /api/workspaces/{workspace_id}/query. The planner determines which specialist capabilities are relevant instead of treating every question as the same fixed workflow.</w:t>
      </w:r>
    </w:p>
    <w:p>
      <w:r>
        <w:t>5. Review the answer. The answer contract displays the synthesis, its confidence signal, atomic claims, retrieved evidence, contradictions, and unresolved items. Confidence is normalized in the frontend to support both 0-1 ratios and already scaled 0-100 values, avoiding percentage double-scaling.</w:t>
      </w:r>
    </w:p>
    <w:p>
      <w:r>
        <w:t>6. Continue the investigation. The user can open the source register, evidence health dashboard, knowledge map and timeline, or workspace-specific verification policies without losing the active workspace context.</w:t>
      </w:r>
    </w:p>
    <w:p>
      <w:pPr>
        <w:pStyle w:val="Heading1"/>
      </w:pPr>
      <w:r>
        <w:t>How to explain the verification model in an interview</w:t>
      </w:r>
    </w:p>
    <w:p>
      <w:pPr>
        <w:pStyle w:val="ListBullet"/>
        <w:spacing w:after="60"/>
      </w:pPr>
      <w:r>
        <w:t>The system does not present an LLM response as self-validating. It keeps claims and supporting source passages separate and inspectable.</w:t>
      </w:r>
    </w:p>
    <w:p>
      <w:pPr>
        <w:pStyle w:val="ListBullet"/>
        <w:spacing w:after="60"/>
      </w:pPr>
      <w:r>
        <w:t>SUPPORTED means the available evidence supports a claim. CONTRADICTED means the retrieved record conflicts with it. UNRESOLVED or NOT_SUPPORTED means the workspace did not provide enough evidence; it is not a statement of objective falsity.</w:t>
      </w:r>
    </w:p>
    <w:p>
      <w:pPr>
        <w:pStyle w:val="ListBullet"/>
        <w:spacing w:after="60"/>
      </w:pPr>
      <w:r>
        <w:t>Confidence is a grounding signal, not a substitute for reviewing evidence in consequential decisions.</w:t>
      </w:r>
    </w:p>
    <w:p>
      <w:pPr>
        <w:pStyle w:val="ListBullet"/>
        <w:spacing w:after="60"/>
      </w:pPr>
      <w:r>
        <w:t>Source authority is a user-declared provenance signal. It is shown alongside each ingested document and can be used in workspace policies.</w:t>
      </w:r>
    </w:p>
    <w:p>
      <w:r>
        <w:br w:type="page"/>
      </w:r>
    </w:p>
    <w:p>
      <w:pPr>
        <w:pStyle w:val="Heading1"/>
      </w:pPr>
      <w:r>
        <w:t>System architecture</w:t>
      </w:r>
    </w:p>
    <w:tbl>
      <w:tblPr>
        <w:tblStyle w:val="TableGrid"/>
        <w:tblW w:type="auto" w:w="0"/>
        <w:tblLayout w:type="fixed"/>
        <w:tblLook w:firstColumn="1" w:firstRow="1" w:lastColumn="0" w:lastRow="0" w:noHBand="0" w:noVBand="1" w:val="04A0"/>
      </w:tblPr>
      <w:tblGrid>
        <w:gridCol w:w="3331"/>
        <w:gridCol w:w="3331"/>
        <w:gridCol w:w="3331"/>
      </w:tblGrid>
      <w:tr>
        <w:tc>
          <w:tcPr>
            <w:tcW w:type="dxa" w:w="1800"/>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Layer</w:t>
            </w:r>
          </w:p>
        </w:tc>
        <w:tc>
          <w:tcPr>
            <w:tcW w:type="dxa" w:w="3384"/>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Key files</w:t>
            </w:r>
          </w:p>
        </w:tc>
        <w:tc>
          <w:tcPr>
            <w:tcW w:type="dxa" w:w="4608"/>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Responsibility</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Application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backend/app/main.py</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Loads environment before route imports, configures CORS, initializes schema during lifespan, and creates the FastAPI application.</w:t>
            </w:r>
          </w:p>
        </w:tc>
      </w:tr>
      <w:tr>
        <w:tc>
          <w:tcPr>
            <w:tcW w:type="dxa" w:w="180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API and auth</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backend/app/api/routes.py and auth.py</w:t>
            </w:r>
          </w:p>
        </w:tc>
        <w:tc>
          <w:tcPr>
            <w:tcW w:type="dxa" w:w="460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Defines health, legacy, workspace, storage, and dataset routes; verifies production access and workspace ownership.</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Knowledge model</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backend/app/knowledge/db.py and repository.py</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Provides schema creation, migrations, database compatibility, workspace documents, graph data, claims, evidence links, and rules.</w:t>
            </w:r>
          </w:p>
        </w:tc>
      </w:tr>
      <w:tr>
        <w:tc>
          <w:tcPr>
            <w:tcW w:type="dxa" w:w="180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Storage selection</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backend/app/knowledge/user_storage.py</w:t>
            </w:r>
          </w:p>
        </w:tc>
        <w:tc>
          <w:tcPr>
            <w:tcW w:type="dxa" w:w="460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Uses durable Postgres when DATABASE_URL is configured; otherwise isolates local SQLite files by sanitized user ID.</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Analysis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backend/app/planner and backend/app/specialists</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Builds intent-aware plans and activates specialist capabilities for claims, evidence, entities, timeline, gaps, comparisons, patterns, and synthesis.</w:t>
            </w:r>
          </w:p>
        </w:tc>
      </w:tr>
      <w:tr>
        <w:tc>
          <w:tcPr>
            <w:tcW w:type="dxa" w:w="180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Client</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frontend/src/App.jsx and components</w:t>
            </w:r>
          </w:p>
        </w:tc>
        <w:tc>
          <w:tcPr>
            <w:tcW w:type="dxa" w:w="460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Hydrates the workspace, calls the public API client, and presents the evidence-centered product workflow.</w:t>
            </w:r>
          </w:p>
        </w:tc>
      </w:tr>
    </w:tbl>
    <w:p>
      <w:pPr>
        <w:spacing w:after="60"/>
      </w:pPr>
    </w:p>
    <w:p>
      <w:pPr>
        <w:pStyle w:val="Heading1"/>
      </w:pPr>
      <w:r>
        <w:t>Security and data boundaries</w:t>
      </w:r>
    </w:p>
    <w:p>
      <w:pPr>
        <w:pStyle w:val="ListBullet"/>
        <w:spacing w:after="60"/>
      </w:pPr>
      <w:r>
        <w:t>In production, AUTH_MODE=prod requires a verified Bearer JWT. The user identity comes from the validated subject claim rather than trusting a client-supplied user ID.</w:t>
      </w:r>
    </w:p>
    <w:p>
      <w:pPr>
        <w:pStyle w:val="ListBullet"/>
        <w:spacing w:after="60"/>
      </w:pPr>
      <w:r>
        <w:t>Workspace-scoped routes enforce ownership and return a non-disclosing result for a workspace the caller does not own.</w:t>
      </w:r>
    </w:p>
    <w:p>
      <w:pPr>
        <w:pStyle w:val="ListBullet"/>
        <w:spacing w:after="60"/>
      </w:pPr>
      <w:r>
        <w:t>CORS accepts the configured TrustLens Vercel domains plus local development origins. Preview support is deliberately restricted by a regular expression in Render configuration.</w:t>
      </w:r>
    </w:p>
    <w:p>
      <w:pPr>
        <w:pStyle w:val="ListBullet"/>
        <w:spacing w:after="60"/>
      </w:pPr>
      <w:r>
        <w:t>Secrets such as OPENAI_API_KEY, JWT material, and DATABASE_URL belong in deployment environment variables, never frontend VITE variables or committed files.</w:t>
      </w:r>
    </w:p>
    <w:p>
      <w:r>
        <w:br w:type="page"/>
      </w:r>
    </w:p>
    <w:p>
      <w:pPr>
        <w:pStyle w:val="Heading1"/>
      </w:pPr>
      <w:r>
        <w:t>Deployment and persistence</w:t>
      </w:r>
    </w:p>
    <w:p>
      <w:r>
        <w:t>The repository has a Render Blueprint in render.yaml. The web service runs the backend Dockerfile from the backend directory, exposes /health, uses a single Uvicorn process, and declares a Postgres database named trustlens-postgres. The Blueprint maps the database connection string to DATABASE_URL. A manually created Render service must be connected to a Postgres instance in the dashboard and redeployed before documents are durable across service restarts.</w:t>
      </w:r>
    </w:p>
    <w:p>
      <w:r>
        <w:t>A crucial deployment check is GET /api/me/storage. Its response states storage_backend and durable. A response of postgres and true confirms durable storage. A response of sqlite and false means the service is running without DATABASE_URL; local Render disk is ephemeral and previously ingested documents can disappear after restart or redeploy.</w:t>
      </w:r>
    </w:p>
    <w:tbl>
      <w:tblPr>
        <w:tblStyle w:val="TableGrid"/>
        <w:tblW w:type="auto" w:w="0"/>
        <w:tblLayout w:type="fixed"/>
        <w:tblLook w:firstColumn="1" w:firstRow="1" w:lastColumn="0" w:lastRow="0" w:noHBand="0" w:noVBand="1" w:val="04A0"/>
      </w:tblPr>
      <w:tblGrid>
        <w:gridCol w:w="3331"/>
        <w:gridCol w:w="3331"/>
        <w:gridCol w:w="3331"/>
      </w:tblGrid>
      <w:tr>
        <w:tc>
          <w:tcPr>
            <w:tcW w:type="dxa" w:w="2232"/>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Environment variable</w:t>
            </w:r>
          </w:p>
        </w:tc>
        <w:tc>
          <w:tcPr>
            <w:tcW w:type="dxa" w:w="2952"/>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Where</w:t>
            </w:r>
          </w:p>
        </w:tc>
        <w:tc>
          <w:tcPr>
            <w:tcW w:type="dxa" w:w="4608"/>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Why it matters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VITE_API_URL</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Vercel build environment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The Vite client compiles this URL into the SPA. It must be the Render backend URL without a trailing slash.</w:t>
            </w:r>
          </w:p>
        </w:tc>
      </w:tr>
      <w:tr>
        <w:tc>
          <w:tcPr>
            <w:tcW w:type="dxa" w:w="223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OPENAI_API_KEY</w:t>
            </w:r>
          </w:p>
        </w:tc>
        <w:tc>
          <w:tcPr>
            <w:tcW w:type="dxa" w:w="295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Render service secret</w:t>
            </w:r>
          </w:p>
        </w:tc>
        <w:tc>
          <w:tcPr>
            <w:tcW w:type="dxa" w:w="460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Enables provider-backed generation, embeddings, and verification. The app has deterministic fallback behavior for unavailable provider operations.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DATABASE_URL</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Render service secret or Blueprint database binding</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Switches the shared repository API from local SQLite to durable Postgres.</w:t>
            </w:r>
          </w:p>
        </w:tc>
      </w:tr>
      <w:tr>
        <w:tc>
          <w:tcPr>
            <w:tcW w:type="dxa" w:w="223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AUTH_MODE and JWT settings</w:t>
            </w:r>
          </w:p>
        </w:tc>
        <w:tc>
          <w:tcPr>
            <w:tcW w:type="dxa" w:w="295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Render service environment</w:t>
            </w:r>
          </w:p>
        </w:tc>
        <w:tc>
          <w:tcPr>
            <w:tcW w:type="dxa" w:w="460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Controls production JWT validation and issuer or audience restrictions when configured.</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CORS_ORIGINS and CORS_ORIGIN_REGEX</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Render service environment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Allows the deployed Vercel frontend and selected preview URLs to call the API from a browser.</w:t>
            </w:r>
          </w:p>
        </w:tc>
      </w:tr>
    </w:tbl>
    <w:p>
      <w:pPr>
        <w:spacing w:after="60"/>
      </w:pPr>
    </w:p>
    <w:p>
      <w:pPr>
        <w:pStyle w:val="Heading1"/>
      </w:pPr>
      <w:r>
        <w:t>Operational caveats to state accurately</w:t>
      </w:r>
    </w:p>
    <w:p>
      <w:pPr>
        <w:pStyle w:val="ListBullet"/>
        <w:spacing w:after="60"/>
      </w:pPr>
      <w:r>
        <w:t>Render free web-service storage is ephemeral. Postgres is the persistence path; a free Postgres instance has its own Render retention and lifecycle limits.</w:t>
      </w:r>
    </w:p>
    <w:p>
      <w:pPr>
        <w:pStyle w:val="ListBullet"/>
        <w:spacing w:after="60"/>
      </w:pPr>
      <w:r>
        <w:t>The API can degrade when an optional external AI provider is unavailable. Do not describe a fallback response as model-verified reasoning.</w:t>
      </w:r>
    </w:p>
    <w:p>
      <w:pPr>
        <w:pStyle w:val="ListBullet"/>
        <w:spacing w:after="60"/>
      </w:pPr>
      <w:r>
        <w:t>Text-based upload is intentionally explicit in the current client. The browser reads supported files and submits text content; binary office or PDF parsing is not promised by this interface.</w:t>
      </w:r>
    </w:p>
    <w:p>
      <w:pPr>
        <w:pStyle w:val="ListBullet"/>
        <w:spacing w:after="60"/>
      </w:pPr>
      <w:r>
        <w:t>The product is a decision-support and evidence-review tool. It is not a legal, medical, financial, or security certification system.</w:t>
      </w:r>
    </w:p>
    <w:p>
      <w:r>
        <w:br w:type="page"/>
      </w:r>
    </w:p>
    <w:p>
      <w:pPr>
        <w:pStyle w:val="Heading1"/>
      </w:pPr>
      <w:r>
        <w:t>Interview questions and concise answers</w:t>
      </w:r>
    </w:p>
    <w:p>
      <w:pPr>
        <w:pStyle w:val="Heading2"/>
      </w:pPr>
      <w:r>
        <w:t>Why build TrustLens instead of a normal RAG chat?</w:t>
      </w:r>
    </w:p>
    <w:p>
      <w:r>
        <w:t>Normal RAG can retrieve context and still make unsupported claims. TrustLens centers the reviewable record: claims, evidence, authority, contradictions, gaps, and source persistence are part of the user experience.</w:t>
      </w:r>
    </w:p>
    <w:p>
      <w:pPr>
        <w:pStyle w:val="Heading2"/>
      </w:pPr>
      <w:r>
        <w:t>How do you prevent one user from seeing another user's workspace?</w:t>
      </w:r>
    </w:p>
    <w:p>
      <w:r>
        <w:t>The production backend verifies JWTs and scopes workspace queries by owner_user_id. Ownership is enforced on every workspace route rather than trusting a workspace ID from the client.</w:t>
      </w:r>
    </w:p>
    <w:p>
      <w:pPr>
        <w:pStyle w:val="Heading2"/>
      </w:pPr>
      <w:r>
        <w:t>How did you solve disappearing documents on Render?</w:t>
      </w:r>
    </w:p>
    <w:p>
      <w:r>
        <w:t>The storage layer chooses Postgres when DATABASE_URL exists, while preserving the repository interface. Render Blueprint configuration declares the database binding. The storage endpoint reports whether the running service is actually durable.</w:t>
      </w:r>
    </w:p>
    <w:p>
      <w:pPr>
        <w:pStyle w:val="Heading2"/>
      </w:pPr>
      <w:r>
        <w:t>Why are specialists in-process?</w:t>
      </w:r>
    </w:p>
    <w:p>
      <w:r>
        <w:t>The planner and specialist classes are a lightweight capability architecture. They give intent-aware routing without starting additional servers, workers, or heavy frameworks on a constrained Render service.</w:t>
      </w:r>
    </w:p>
    <w:p>
      <w:pPr>
        <w:pStyle w:val="Heading2"/>
      </w:pPr>
      <w:r>
        <w:t>Why normalize confidence in the UI?</w:t>
      </w:r>
    </w:p>
    <w:p>
      <w:r>
        <w:t>APIs can return a ratio such as 0.941 or an already scaled percentage such as 94.1. A shared helper detects both forms, clamps unsafe values, and prevents the 9410 percent display failure.</w:t>
      </w:r>
    </w:p>
    <w:p>
      <w:pPr>
        <w:pStyle w:val="Heading2"/>
      </w:pPr>
      <w:r>
        <w:t>What is the hardest deployment boundary?</w:t>
      </w:r>
    </w:p>
    <w:p>
      <w:r>
        <w:t>Configuration is part of the system. Vercel must build with the correct API URL, Render must allow that browser origin, and the deployed Render service must actually receive DATABASE_URL and auth secrets. Code alone cannot compensate for absent deployment configuration.</w:t>
      </w:r>
    </w:p>
    <w:p>
      <w:pPr>
        <w:pStyle w:val="Heading2"/>
      </w:pPr>
      <w:r>
        <w:t>What would you improve next?</w:t>
      </w:r>
    </w:p>
    <w:p>
      <w:r>
        <w:t>Add robust server-side parsers for more document formats, evidence span highlighting, richer policy enforcement, observability for provider fallbacks, and a stronger evaluation corpus tied to documented acceptance metrics.</w:t>
      </w:r>
    </w:p>
    <w:sectPr w:rsidR="00FC693F" w:rsidRPr="0006063C" w:rsidSect="00034616">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574"/>
        <w:sz w:val="16"/>
      </w:rPr>
      <w:t>TrustLens project guide | Current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