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TrustLens Top Ten Important Files Code Guide</w:t>
      </w:r>
    </w:p>
    <w:p>
      <w:pPr>
        <w:spacing w:after="360"/>
      </w:pPr>
      <w:r>
        <w:rPr>
          <w:color w:val="4A5263"/>
          <w:sz w:val="22"/>
        </w:rPr>
        <w:t>A current file-by-file guide for reading the implementation and explaining the engineering choices in an interview.</w:t>
      </w:r>
    </w:p>
    <w:p>
      <w:r>
        <w:t>This guide identifies the ten files that explain the current product most efficiently. Read them in order to understand how the web client calls the API, how the API authenticates and scopes a workspace, how documents become evidence, and how deployment switches local storage to durable Postgres.</w:t>
      </w:r>
    </w:p>
    <w:p>
      <w:pPr>
        <w:pStyle w:val="Heading1"/>
      </w:pPr>
      <w:r>
        <w:t>Reading order</w:t>
      </w:r>
    </w:p>
    <w:tbl>
      <w:tblPr>
        <w:tblStyle w:val="TableGrid"/>
        <w:tblW w:type="auto" w:w="0"/>
        <w:tblLayout w:type="fixed"/>
        <w:tblLook w:firstColumn="1" w:firstRow="1" w:lastColumn="0" w:lastRow="0" w:noHBand="0" w:noVBand="1" w:val="04A0"/>
      </w:tblPr>
      <w:tblGrid>
        <w:gridCol w:w="3331"/>
        <w:gridCol w:w="3331"/>
        <w:gridCol w:w="3331"/>
      </w:tblGrid>
      <w:tr>
        <w:tc>
          <w:tcPr>
            <w:tcW w:type="dxa" w:w="792"/>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Order</w:t>
            </w:r>
          </w:p>
        </w:tc>
        <w:tc>
          <w:tcPr>
            <w:tcW w:type="dxa" w:w="3384"/>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File</w:t>
            </w:r>
          </w:p>
        </w:tc>
        <w:tc>
          <w:tcPr>
            <w:tcW w:type="dxa" w:w="5616"/>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Reason to read it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1</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frontend/src/App.jsx</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The client orchestration point for auth hydration, API refreshes, active view selection, ingestion, and queries.</w:t>
            </w:r>
          </w:p>
        </w:tc>
      </w:tr>
      <w:tr>
        <w:tc>
          <w:tcPr>
            <w:tcW w:type="dxa" w:w="7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2</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frontend/src/api.js</w:t>
            </w:r>
          </w:p>
        </w:tc>
        <w:tc>
          <w:tcPr>
            <w:tcW w:type="dxa" w:w="56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The HTTP contract and the one place that attaches the current user header and Clerk Bearer token.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3</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backend/app/main.py</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Application startup order, CORS policy, FastAPI lifespan, and router composition.</w:t>
            </w:r>
          </w:p>
        </w:tc>
      </w:tr>
      <w:tr>
        <w:tc>
          <w:tcPr>
            <w:tcW w:type="dxa" w:w="7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4</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backend/app/api/auth.py</w:t>
            </w:r>
          </w:p>
        </w:tc>
        <w:tc>
          <w:tcPr>
            <w:tcW w:type="dxa" w:w="56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Production JWT validation and the distinction between production and development authentication.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5</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backend/app/api/routes.py</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Public API routes and their orchestration of workspace, ingestion, query, and storage behavior.</w:t>
            </w:r>
          </w:p>
        </w:tc>
      </w:tr>
      <w:tr>
        <w:tc>
          <w:tcPr>
            <w:tcW w:type="dxa" w:w="7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6</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backend/app/knowledge/db.py</w:t>
            </w:r>
          </w:p>
        </w:tc>
        <w:tc>
          <w:tcPr>
            <w:tcW w:type="dxa" w:w="56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SQLite/Postgres selection, portable compatibility wrapper, schema creation, and additive migrations.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7</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backend/app/knowledge/repository.py</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Database operations for workspaces, documents, evidence links, claims, entities, events, rules, and health.</w:t>
            </w:r>
          </w:p>
        </w:tc>
      </w:tr>
      <w:tr>
        <w:tc>
          <w:tcPr>
            <w:tcW w:type="dxa" w:w="7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8</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backend/app/knowledge/user_storage.py</w:t>
            </w:r>
          </w:p>
        </w:tc>
        <w:tc>
          <w:tcPr>
            <w:tcW w:type="dxa" w:w="56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User context cache, local isolation, storage metrics, and the durable Postgres switch.</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9</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backend/app/planner/planner.py</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Intent-aware planning and specialist selection for workspace analysis.</w:t>
            </w:r>
          </w:p>
        </w:tc>
      </w:tr>
      <w:tr>
        <w:tc>
          <w:tcPr>
            <w:tcW w:type="dxa" w:w="7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10</w:t>
            </w:r>
          </w:p>
        </w:tc>
        <w:tc>
          <w:tcPr>
            <w:tcW w:type="dxa" w:w="33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render.yaml</w:t>
            </w:r>
          </w:p>
        </w:tc>
        <w:tc>
          <w:tcPr>
            <w:tcW w:type="dxa" w:w="56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The production contract: Render Docker service, environment configuration, CORS, auth mode, and database binding.</w:t>
            </w:r>
          </w:p>
        </w:tc>
      </w:tr>
    </w:tbl>
    <w:p>
      <w:pPr>
        <w:spacing w:after="60"/>
      </w:pPr>
    </w:p>
    <w:p>
      <w:pPr>
        <w:pStyle w:val="Heading1"/>
      </w:pPr>
      <w:r>
        <w:t>1. frontend/src/App.jsx</w:t>
      </w:r>
    </w:p>
    <w:p>
      <w:r>
        <w:t>Owns the product-level state.</w:t>
      </w:r>
    </w:p>
    <w:p>
      <w:pPr>
        <w:pStyle w:val="ListBullet"/>
        <w:spacing w:after="60"/>
      </w:pPr>
      <w:r>
        <w:t>Holds workspaces, active workspace, source register data, health, graph, timeline, rules, query result, errors, and loading state.</w:t>
      </w:r>
    </w:p>
    <w:p>
      <w:pPr>
        <w:pStyle w:val="ListBullet"/>
        <w:spacing w:after="60"/>
      </w:pPr>
      <w:r>
        <w:t>On identity changes, it configures api.js, checks service health, loads storage statistics, and lists the caller's workspaces.</w:t>
      </w:r>
    </w:p>
    <w:p>
      <w:pPr>
        <w:pStyle w:val="ListBullet"/>
        <w:spacing w:after="60"/>
      </w:pPr>
      <w:r>
        <w:t>When the active workspace changes, it refreshes all workspace views in parallel so the evidence desk remains coherent.</w:t>
      </w:r>
    </w:p>
    <w:p>
      <w:pPr>
        <w:pStyle w:val="ListBullet"/>
        <w:spacing w:after="60"/>
      </w:pPr>
      <w:r>
        <w:t>It deliberately keeps ingestion and query callbacks thin: API result, refresh workspace state, then let components render the new record.</w:t>
      </w:r>
    </w:p>
    <w:p>
      <w:pPr>
        <w:pStyle w:val="ListBullet"/>
        <w:spacing w:after="60"/>
      </w:pPr>
      <w:r>
        <w:t>Interview point: this is a composition root, not a data-model library. Business persistence and authorization remain on the backend.</w:t>
      </w:r>
    </w:p>
    <w:p>
      <w:pPr>
        <w:pStyle w:val="Heading1"/>
      </w:pPr>
      <w:r>
        <w:t>2. frontend/src/api.js</w:t>
      </w:r>
    </w:p>
    <w:p>
      <w:r>
        <w:t>Defines the browser to backend contract.</w:t>
      </w:r>
    </w:p>
    <w:p>
      <w:pPr>
        <w:pStyle w:val="ListBullet"/>
        <w:spacing w:after="60"/>
      </w:pPr>
      <w:r>
        <w:t>API_BASE comes only from VITE_API_URL with a localhost development fallback. No production backend URL is hard-coded.</w:t>
      </w:r>
    </w:p>
    <w:p>
      <w:pPr>
        <w:pStyle w:val="ListBullet"/>
        <w:spacing w:after="60"/>
      </w:pPr>
      <w:r>
        <w:t>setAuthContext stores the active user and optional Clerk token getter. buildHeaders attaches x-user-id for development context and Authorization when a token is available.</w:t>
      </w:r>
    </w:p>
    <w:p>
      <w:pPr>
        <w:pStyle w:val="ListBullet"/>
        <w:spacing w:after="60"/>
      </w:pPr>
      <w:r>
        <w:t>Each function corresponds to an API operation: workspace list and create, document upload and list, health, entities, timeline, rules, query, and service health.</w:t>
      </w:r>
    </w:p>
    <w:p>
      <w:pPr>
        <w:pStyle w:val="ListBullet"/>
        <w:spacing w:after="60"/>
      </w:pPr>
      <w:r>
        <w:t>Errors are converted into meaningful JavaScript Error messages so the UI can show recovery guidance.</w:t>
      </w:r>
    </w:p>
    <w:p>
      <w:pPr>
        <w:pStyle w:val="ListBullet"/>
        <w:spacing w:after="60"/>
      </w:pPr>
      <w:r>
        <w:t>Interview point: centralizing fetch behavior avoids authorization drift between screens.</w:t>
      </w:r>
    </w:p>
    <w:p>
      <w:pPr>
        <w:pStyle w:val="Heading1"/>
      </w:pPr>
      <w:r>
        <w:t>3. backend/app/main.py</w:t>
      </w:r>
    </w:p>
    <w:p>
      <w:r>
        <w:t>Starts FastAPI safely.</w:t>
      </w:r>
    </w:p>
    <w:p>
      <w:pPr>
        <w:pStyle w:val="ListBullet"/>
        <w:spacing w:after="60"/>
      </w:pPr>
      <w:r>
        <w:t>Loads .env files before importing routes because route imports resolve authentication configuration. Environment values already set by Render are not overridden.</w:t>
      </w:r>
    </w:p>
    <w:p>
      <w:pPr>
        <w:pStyle w:val="ListBullet"/>
        <w:spacing w:after="60"/>
      </w:pPr>
      <w:r>
        <w:t>Builds a fixed set of trusted origins and optional Vercel preview regex, then applies CORSMiddleware.</w:t>
      </w:r>
    </w:p>
    <w:p>
      <w:pPr>
        <w:pStyle w:val="ListBullet"/>
        <w:spacing w:after="60"/>
      </w:pPr>
      <w:r>
        <w:t>Uses lifespan to ensure the schema exists without loading heavy models or making network calls during import.</w:t>
      </w:r>
    </w:p>
    <w:p>
      <w:pPr>
        <w:pStyle w:val="ListBullet"/>
        <w:spacing w:after="60"/>
      </w:pPr>
      <w:r>
        <w:t>Registers the routes router and exposes the application object used by Uvicorn.</w:t>
      </w:r>
    </w:p>
    <w:p>
      <w:pPr>
        <w:pStyle w:val="ListBullet"/>
        <w:spacing w:after="60"/>
      </w:pPr>
      <w:r>
        <w:t>Interview point: startup order and lightweight initialization are important on Render's constrained web-service runtime.</w:t>
      </w:r>
    </w:p>
    <w:p>
      <w:r>
        <w:br w:type="page"/>
      </w:r>
    </w:p>
    <w:p>
      <w:pPr>
        <w:pStyle w:val="Heading1"/>
      </w:pPr>
      <w:r>
        <w:t>4. backend/app/api/auth.py</w:t>
      </w:r>
    </w:p>
    <w:p>
      <w:r>
        <w:t>Enforces production identity.</w:t>
      </w:r>
    </w:p>
    <w:p>
      <w:pPr>
        <w:pStyle w:val="ListBullet"/>
        <w:spacing w:after="60"/>
      </w:pPr>
      <w:r>
        <w:t>Validates signed JWTs using configured allowed algorithms and required time-based claims.</w:t>
      </w:r>
    </w:p>
    <w:p>
      <w:pPr>
        <w:pStyle w:val="ListBullet"/>
        <w:spacing w:after="60"/>
      </w:pPr>
      <w:r>
        <w:t>Production authentication derives user identity from the verified subject claim. Development mode can accept x-user-id for local testing only.</w:t>
      </w:r>
    </w:p>
    <w:p>
      <w:pPr>
        <w:pStyle w:val="ListBullet"/>
        <w:spacing w:after="60"/>
      </w:pPr>
      <w:r>
        <w:t>Ownership helpers enforce that a workspace belongs to the authenticated user before workspace-scoped operations proceed.</w:t>
      </w:r>
    </w:p>
    <w:p>
      <w:pPr>
        <w:pStyle w:val="ListBullet"/>
        <w:spacing w:after="60"/>
      </w:pPr>
      <w:r>
        <w:t>Interview point: authorization is checked at every resource route to reduce insecure direct object reference risk.</w:t>
      </w:r>
    </w:p>
    <w:p>
      <w:pPr>
        <w:pStyle w:val="Heading1"/>
      </w:pPr>
      <w:r>
        <w:t>5. backend/app/api/routes.py</w:t>
      </w:r>
    </w:p>
    <w:p>
      <w:r>
        <w:t>Maps HTTP requests to system capabilities.</w:t>
      </w:r>
    </w:p>
    <w:p>
      <w:pPr>
        <w:pStyle w:val="ListBullet"/>
        <w:spacing w:after="60"/>
      </w:pPr>
      <w:r>
        <w:t>Provides liveness and readiness endpoints, legacy endpoints retained for compatibility, personal workspace endpoints, and dataset analytics endpoints.</w:t>
      </w:r>
    </w:p>
    <w:p>
      <w:pPr>
        <w:pStyle w:val="ListBullet"/>
        <w:spacing w:after="60"/>
      </w:pPr>
      <w:r>
        <w:t>The document ingestion route accepts a validated request, checks ownership, calls the ingestion agent, and returns DocumentResponse including document_id and authority_level.</w:t>
      </w:r>
    </w:p>
    <w:p>
      <w:pPr>
        <w:pStyle w:val="ListBullet"/>
        <w:spacing w:after="60"/>
      </w:pPr>
      <w:r>
        <w:t>The query route checks ownership, invokes the workspace planner, and returns the answer contract consumed by AnswerContractPanel.</w:t>
      </w:r>
    </w:p>
    <w:p>
      <w:pPr>
        <w:pStyle w:val="ListBullet"/>
        <w:spacing w:after="60"/>
      </w:pPr>
      <w:r>
        <w:t>The storage endpoint is the operational truth for whether the running service is on SQLite or durable Postgres.</w:t>
      </w:r>
    </w:p>
    <w:p>
      <w:pPr>
        <w:pStyle w:val="ListBullet"/>
        <w:spacing w:after="60"/>
      </w:pPr>
      <w:r>
        <w:t>Interview point: routes should validate, authorize, orchestrate, and serialize; they should not duplicate repository business logic.</w:t>
      </w:r>
    </w:p>
    <w:p>
      <w:pPr>
        <w:pStyle w:val="Heading1"/>
      </w:pPr>
      <w:r>
        <w:t>6. backend/app/knowledge/db.py</w:t>
      </w:r>
    </w:p>
    <w:p>
      <w:r>
        <w:t>Keeps the data layer portable.</w:t>
      </w:r>
    </w:p>
    <w:p>
      <w:pPr>
        <w:pStyle w:val="ListBullet"/>
        <w:spacing w:after="60"/>
      </w:pPr>
      <w:r>
        <w:t>using_postgres checks DATABASE_URL. When absent, get_db_connection returns SQLite with foreign keys and WAL mode for local work.</w:t>
      </w:r>
    </w:p>
    <w:p>
      <w:pPr>
        <w:pStyle w:val="ListBullet"/>
        <w:spacing w:after="60"/>
      </w:pPr>
      <w:r>
        <w:t>When present, the file creates a small psycopg wrapper that translates the repository's SQLite-style question-mark parameters to Postgres parameters.</w:t>
      </w:r>
    </w:p>
    <w:p>
      <w:pPr>
        <w:pStyle w:val="ListBullet"/>
        <w:spacing w:after="60"/>
      </w:pPr>
      <w:r>
        <w:t>ensure_schema creates workspace, documents, chunks, graph, claims, evidence, rules, and related tables, then applies additive migrations.</w:t>
      </w:r>
    </w:p>
    <w:p>
      <w:pPr>
        <w:pStyle w:val="ListBullet"/>
        <w:spacing w:after="60"/>
      </w:pPr>
      <w:r>
        <w:t>Interview point: the repository interface stays stable while the deployment storage provider changes.</w:t>
      </w:r>
    </w:p>
    <w:p>
      <w:r>
        <w:br w:type="page"/>
      </w:r>
    </w:p>
    <w:p>
      <w:pPr>
        <w:pStyle w:val="Heading1"/>
      </w:pPr>
      <w:r>
        <w:t>7. backend/app/knowledge/repository.py</w:t>
      </w:r>
    </w:p>
    <w:p>
      <w:r>
        <w:t>Contains the workspace data operations.</w:t>
      </w:r>
    </w:p>
    <w:p>
      <w:pPr>
        <w:pStyle w:val="ListBullet"/>
        <w:spacing w:after="60"/>
      </w:pPr>
      <w:r>
        <w:t>Creates and lists owner-scoped workspaces and manages documents, chunk records, embeddings, claims, entities, relationships, events, evidence, and rules.</w:t>
      </w:r>
    </w:p>
    <w:p>
      <w:pPr>
        <w:pStyle w:val="ListBullet"/>
        <w:spacing w:after="60"/>
      </w:pPr>
      <w:r>
        <w:t>Exposes read models for health, proactive discoveries, knowledge graph nodes and edges, and timeline data.</w:t>
      </w:r>
    </w:p>
    <w:p>
      <w:pPr>
        <w:pStyle w:val="ListBullet"/>
        <w:spacing w:after="60"/>
      </w:pPr>
      <w:r>
        <w:t>Keeps SQL access in one layer so routes and specialists do not manually assemble database queries.</w:t>
      </w:r>
    </w:p>
    <w:p>
      <w:pPr>
        <w:pStyle w:val="ListBullet"/>
        <w:spacing w:after="60"/>
      </w:pPr>
      <w:r>
        <w:t>Interview point: this separation makes it easier to test behavior and preserve the SQLite/Postgres transition.</w:t>
      </w:r>
    </w:p>
    <w:p>
      <w:pPr>
        <w:pStyle w:val="Heading1"/>
      </w:pPr>
      <w:r>
        <w:t>8. backend/app/knowledge/user_storage.py</w:t>
      </w:r>
    </w:p>
    <w:p>
      <w:r>
        <w:t>Manages per-user context and storage reporting.</w:t>
      </w:r>
    </w:p>
    <w:p>
      <w:pPr>
        <w:pStyle w:val="ListBullet"/>
        <w:spacing w:after="60"/>
      </w:pPr>
      <w:r>
        <w:t>Sanitizes user IDs before local-path use and creates separate SQLite directories only in the local-storage path.</w:t>
      </w:r>
    </w:p>
    <w:p>
      <w:pPr>
        <w:pStyle w:val="ListBullet"/>
        <w:spacing w:after="60"/>
      </w:pPr>
      <w:r>
        <w:t>For durable Postgres, reports a shared durable backend while still listing only workspaces owned by the current user.</w:t>
      </w:r>
    </w:p>
    <w:p>
      <w:pPr>
        <w:pStyle w:val="ListBullet"/>
        <w:spacing w:after="60"/>
      </w:pPr>
      <w:r>
        <w:t>Caches user contexts with a bounded LRU and constructs ingestion and planner objects lazily, helping the web service avoid uncontrolled memory growth.</w:t>
      </w:r>
    </w:p>
    <w:p>
      <w:pPr>
        <w:pStyle w:val="ListBullet"/>
        <w:spacing w:after="60"/>
      </w:pPr>
      <w:r>
        <w:t>Interview point: the cache is an optimization; persistence belongs to the database, not process memory.</w:t>
      </w:r>
    </w:p>
    <w:p>
      <w:pPr>
        <w:pStyle w:val="Heading1"/>
      </w:pPr>
      <w:r>
        <w:t>9. backend/app/planner/planner.py</w:t>
      </w:r>
    </w:p>
    <w:p>
      <w:r>
        <w:t>Chooses the analysis path.</w:t>
      </w:r>
    </w:p>
    <w:p>
      <w:pPr>
        <w:pStyle w:val="ListBullet"/>
        <w:spacing w:after="60"/>
      </w:pPr>
      <w:r>
        <w:t>Interprets the workspace query and selects relevant specialist capabilities rather than invoking all of them blindly.</w:t>
      </w:r>
    </w:p>
    <w:p>
      <w:pPr>
        <w:pStyle w:val="ListBullet"/>
        <w:spacing w:after="60"/>
      </w:pPr>
      <w:r>
        <w:t>Coordinates capabilities such as claim detection, evidence grounding, entity extraction, timeline analysis, contradiction detection, gaps, comparisons, and synthesis.</w:t>
      </w:r>
    </w:p>
    <w:p>
      <w:pPr>
        <w:pStyle w:val="ListBullet"/>
        <w:spacing w:after="60"/>
      </w:pPr>
      <w:r>
        <w:t>Produces a plan trace that the frontend shows as the verification path.</w:t>
      </w:r>
    </w:p>
    <w:p>
      <w:pPr>
        <w:pStyle w:val="ListBullet"/>
        <w:spacing w:after="60"/>
      </w:pPr>
      <w:r>
        <w:t>Interview point: the architecture uses plain in-process classes, not separate autonomous services. This makes the design easier to deploy and observe.</w:t>
      </w:r>
    </w:p>
    <w:p>
      <w:pPr>
        <w:pStyle w:val="Heading1"/>
      </w:pPr>
      <w:r>
        <w:t>10. render.yaml</w:t>
      </w:r>
    </w:p>
    <w:p>
      <w:r>
        <w:t>Captures deployment requirements.</w:t>
      </w:r>
    </w:p>
    <w:p>
      <w:pPr>
        <w:pStyle w:val="ListBullet"/>
        <w:spacing w:after="60"/>
      </w:pPr>
      <w:r>
        <w:t>Defines a Docker web service rooted at backend, the health check, free plan, and environment defaults for the OpenAI-backed paths.</w:t>
      </w:r>
    </w:p>
    <w:p>
      <w:pPr>
        <w:pStyle w:val="ListBullet"/>
        <w:spacing w:after="60"/>
      </w:pPr>
      <w:r>
        <w:t>Declares trustlens-postgres and maps its internal connection string to DATABASE_URL for Blueprint deployments.</w:t>
      </w:r>
    </w:p>
    <w:p>
      <w:pPr>
        <w:pStyle w:val="ListBullet"/>
        <w:spacing w:after="60"/>
      </w:pPr>
      <w:r>
        <w:t>Sets exact TrustLens Vercel origins plus a constrained preview regex and production authentication mode.</w:t>
      </w:r>
    </w:p>
    <w:p>
      <w:pPr>
        <w:pStyle w:val="ListBullet"/>
        <w:spacing w:after="60"/>
      </w:pPr>
      <w:r>
        <w:t>Interview point: source control can declare deployment intent, but the deployment dashboard must still contain secrets and must apply or sync the Blueprint.</w:t>
      </w:r>
    </w:p>
    <w:p>
      <w:r>
        <w:br w:type="page"/>
      </w:r>
    </w:p>
    <w:p>
      <w:pPr>
        <w:pStyle w:val="Heading1"/>
      </w:pPr>
      <w:r>
        <w:t>Supporting frontend files worth knowing</w:t>
      </w:r>
    </w:p>
    <w:tbl>
      <w:tblPr>
        <w:tblStyle w:val="TableGrid"/>
        <w:tblW w:type="auto" w:w="0"/>
        <w:tblLayout w:type="fixed"/>
        <w:tblLook w:firstColumn="1" w:firstRow="1" w:lastColumn="0" w:lastRow="0" w:noHBand="0" w:noVBand="1" w:val="04A0"/>
      </w:tblPr>
      <w:tblGrid>
        <w:gridCol w:w="4997"/>
        <w:gridCol w:w="4997"/>
      </w:tblGrid>
      <w:tr>
        <w:tc>
          <w:tcPr>
            <w:tcW w:type="dxa" w:w="3600"/>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File</w:t>
            </w:r>
          </w:p>
        </w:tc>
        <w:tc>
          <w:tcPr>
            <w:tcW w:type="dxa" w:w="6192"/>
            <w:shd w:fill="1F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Why it matters</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frontend/src/components/IngestionModal.jsx</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Captures direct text, supported file text, declared authority, and prominently renders returned document ID and authority after ingestion.</w:t>
            </w:r>
          </w:p>
        </w:tc>
      </w:tr>
      <w:tr>
        <w:tc>
          <w:tcPr>
            <w:tcW w:type="dxa" w:w="36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frontend/src/components/AnswerContractPanel.jsx</w:t>
            </w:r>
          </w:p>
        </w:tc>
        <w:tc>
          <w:tcPr>
            <w:tcW w:type="dxa" w:w="61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Displays the answer as a reviewable contract and uses the shared confidence utility for both overall and item-level percentages.</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frontend/src/utils/confidence.js</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Normalizes ratio and percentage contracts and clamps invalid values. Its focused test protects against the historic 9410 percent regression.</w:t>
            </w:r>
          </w:p>
        </w:tc>
      </w:tr>
      <w:tr>
        <w:tc>
          <w:tcPr>
            <w:tcW w:type="dxa" w:w="36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frontend/src/components/DocumentLibrary.jsx</w:t>
            </w:r>
          </w:p>
        </w:tc>
        <w:tc>
          <w:tcPr>
            <w:tcW w:type="dxa" w:w="61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Makes source provenance visible with document ID, authority level, and ingestion status.</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frontend/src/components/ArchitectureModal.jsx</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9"/>
              </w:rPr>
              <w:t>Explains the actual current system in product language and avoids obsolete claims about removed local transformer or FAISS runtime dependencies.</w:t>
            </w:r>
          </w:p>
        </w:tc>
      </w:tr>
    </w:tbl>
    <w:p>
      <w:pPr>
        <w:spacing w:after="60"/>
      </w:pPr>
    </w:p>
    <w:p>
      <w:pPr>
        <w:pStyle w:val="Heading1"/>
      </w:pPr>
      <w:r>
        <w:t>A practical code walkthrough for an interview</w:t>
      </w:r>
    </w:p>
    <w:p>
      <w:r>
        <w:t>Start at App.jsx and demonstrate a simple path: a user opens a workspace, the client refreshes its source record, the user ingests a note, the modal displays the returned ID and authority, then the user asks a question and opens the answer's evidence tab. Move next to api.js and routes.py to show the request contract. Finish with auth.py, db.py, and user_storage.py to show why the same experience can be both owner-scoped and durable on Render.</w:t>
      </w:r>
    </w:p>
    <w:p>
      <w:pPr>
        <w:pStyle w:val="Heading1"/>
      </w:pPr>
      <w:r>
        <w:t>Claims to avoid</w:t>
      </w:r>
    </w:p>
    <w:p>
      <w:pPr>
        <w:pStyle w:val="ListBullet"/>
        <w:spacing w:after="60"/>
      </w:pPr>
      <w:r>
        <w:t>Do not say the live deployment is durable unless GET /api/me/storage reports storage_backend postgres and durable true.</w:t>
      </w:r>
    </w:p>
    <w:p>
      <w:pPr>
        <w:pStyle w:val="ListBullet"/>
        <w:spacing w:after="60"/>
      </w:pPr>
      <w:r>
        <w:t>Do not say every confidence value is a factual probability. It is a bounded evidence-grounding display signal.</w:t>
      </w:r>
    </w:p>
    <w:p>
      <w:pPr>
        <w:pStyle w:val="ListBullet"/>
        <w:spacing w:after="60"/>
      </w:pPr>
      <w:r>
        <w:t>Do not say the current Render service runs local PyTorch, FAISS, spaCy, sentence-transformers, or a local transformer NLI model. The current lightweight production path uses OpenAI-backed providers with deterministic fallbacks.</w:t>
      </w:r>
    </w:p>
    <w:p>
      <w:pPr>
        <w:pStyle w:val="ListBullet"/>
        <w:spacing w:after="60"/>
      </w:pPr>
      <w:r>
        <w:t>Do not say uploaded binary office or PDF documents are parsed by the current browser client. The exposed upload flow reads supported text-based files.</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574"/>
        <w:sz w:val="16"/>
      </w:rPr>
      <w:t>TrustLens project guide | Current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