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GO / GRPC MICROSERVICES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>Senior Go/</w:t>
      </w:r>
      <w:r>
        <w:rPr>
          <w:rFonts w:ascii="Arial" w:hAnsi="Arial" w:eastAsia="Arial"/>
          <w:b/>
          <w:color w:val="111111"/>
          <w:sz w:val="17"/>
        </w:rPr>
        <w:t>gRPC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Go 1.20-1.22, gRPC, Protocol Buffers, PostgreSQL, Kubernetes,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Go 1.20-1.22, gRPC, Protocol Buffers, PostgreSQL, Kubernetes,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Go 1.20-1.22, gRPC, Protocol Buffers, PostgreSQL, Kubernetes,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Go 1.20-1.22, gRPC, Protocol Buffers, PostgreSQL, Kubernetes,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Go 1.20-1.22, gRPC, Protocol Buffers, PostgreSQL, Kubernetes,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Go 1.20-1.22, gRPC, Protocol Buffers, PostgreSQL, Kubernetes,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Go / gRPC Microservices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