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SITE RELIABILITY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Site Reliability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SRE practices, Kubernetes, AWS, observability, incident response,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SRE practices, Kubernetes, AWS, observability, incident response, automation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</w:t>
      </w:r>
      <w:r>
        <w:rPr>
          <w:rFonts w:ascii="Arial" w:hAnsi="Arial" w:eastAsia="Arial"/>
          <w:b/>
          <w:color w:val="111111"/>
          <w:sz w:val="16"/>
        </w:rPr>
        <w:t>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Engineering </w:t>
      </w:r>
      <w:r>
        <w:rPr>
          <w:rFonts w:ascii="Arial" w:hAnsi="Arial" w:eastAsia="Arial"/>
          <w:b/>
          <w:color w:val="111111"/>
          <w:sz w:val="16"/>
        </w:rPr>
        <w:t>Practices</w:t>
      </w:r>
      <w:r>
        <w:rPr>
          <w:rFonts w:ascii="Arial" w:hAnsi="Arial" w:eastAsia="Arial"/>
          <w:b w:val="0"/>
          <w:color w:val="111111"/>
          <w:sz w:val="16"/>
        </w:rPr>
        <w:t>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SRE practices, Kubernetes, AWS, observability, incident response, automation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Resolved recurring production </w:t>
      </w:r>
      <w:r>
        <w:rPr>
          <w:rFonts w:ascii="Arial" w:hAnsi="Arial" w:eastAsia="Arial"/>
          <w:b/>
          <w:color w:val="111111"/>
          <w:sz w:val="16"/>
        </w:rPr>
        <w:t>incident</w:t>
      </w:r>
      <w:r>
        <w:rPr>
          <w:rFonts w:ascii="Arial" w:hAnsi="Arial" w:eastAsia="Arial"/>
          <w:b w:val="0"/>
          <w:color w:val="111111"/>
          <w:sz w:val="16"/>
        </w:rPr>
        <w:t>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 xml:space="preserve">, queue depth, deployment status, and infrastructure capacity so teams could diagnose </w:t>
      </w:r>
      <w:r>
        <w:rPr>
          <w:rFonts w:ascii="Arial" w:hAnsi="Arial" w:eastAsia="Arial"/>
          <w:b/>
          <w:color w:val="111111"/>
          <w:sz w:val="16"/>
        </w:rPr>
        <w:t>incident</w:t>
      </w:r>
      <w:r>
        <w:rPr>
          <w:rFonts w:ascii="Arial" w:hAnsi="Arial" w:eastAsia="Arial"/>
          <w:b w:val="0"/>
          <w:color w:val="111111"/>
          <w:sz w:val="16"/>
        </w:rPr>
        <w:t>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SRE practices, Kubernetes, AWS, observability, incident response, automation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 xml:space="preserve">, worker queues, database load, and error rates so </w:t>
      </w:r>
      <w:r>
        <w:rPr>
          <w:rFonts w:ascii="Arial" w:hAnsi="Arial" w:eastAsia="Arial"/>
          <w:b/>
          <w:color w:val="111111"/>
          <w:sz w:val="16"/>
        </w:rPr>
        <w:t>incident</w:t>
      </w:r>
      <w:r>
        <w:rPr>
          <w:rFonts w:ascii="Arial" w:hAnsi="Arial" w:eastAsia="Arial"/>
          <w:b w:val="0"/>
          <w:color w:val="111111"/>
          <w:sz w:val="16"/>
        </w:rPr>
        <w:t xml:space="preserve">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nonprofit product operations with deployment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>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developers to improve structured logging, alert context, and </w:t>
      </w:r>
      <w:r>
        <w:rPr>
          <w:rFonts w:ascii="Arial" w:hAnsi="Arial" w:eastAsia="Arial"/>
          <w:b/>
          <w:color w:val="111111"/>
          <w:sz w:val="16"/>
        </w:rPr>
        <w:t>incident</w:t>
      </w:r>
      <w:r>
        <w:rPr>
          <w:rFonts w:ascii="Arial" w:hAnsi="Arial" w:eastAsia="Arial"/>
          <w:b w:val="0"/>
          <w:color w:val="111111"/>
          <w:sz w:val="16"/>
        </w:rPr>
        <w:t xml:space="preserve">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Helped migrate fragile operational scripts into documented, repeatable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recurring production issues involving failed uploads, missing metadata, slow search </w:t>
      </w:r>
      <w:r>
        <w:rPr>
          <w:rFonts w:ascii="Arial" w:hAnsi="Arial" w:eastAsia="Arial"/>
          <w:b/>
          <w:color w:val="111111"/>
          <w:sz w:val="16"/>
        </w:rPr>
        <w:t>response</w:t>
      </w:r>
      <w:r>
        <w:rPr>
          <w:rFonts w:ascii="Arial" w:hAnsi="Arial" w:eastAsia="Arial"/>
          <w:b w:val="0"/>
          <w:color w:val="111111"/>
          <w:sz w:val="16"/>
        </w:rPr>
        <w:t>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support teams to investigate customer </w:t>
      </w:r>
      <w:r>
        <w:rPr>
          <w:rFonts w:ascii="Arial" w:hAnsi="Arial" w:eastAsia="Arial"/>
          <w:b/>
          <w:color w:val="111111"/>
          <w:sz w:val="16"/>
        </w:rPr>
        <w:t>incident</w:t>
      </w:r>
      <w:r>
        <w:rPr>
          <w:rFonts w:ascii="Arial" w:hAnsi="Arial" w:eastAsia="Arial"/>
          <w:b w:val="0"/>
          <w:color w:val="111111"/>
          <w:sz w:val="16"/>
        </w:rPr>
        <w:t>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SRE practices, Kubernetes, AWS, observability, incident response, automation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SRE practices, Kubernetes, AWS, observability, incident response, automation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Site Reliability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