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AI AGENT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AI Agent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LLM</w:t>
      </w:r>
      <w:r>
        <w:rPr>
          <w:rFonts w:ascii="Arial" w:hAnsi="Arial" w:eastAsia="Arial"/>
          <w:b w:val="0"/>
          <w:color w:val="111111"/>
          <w:sz w:val="16"/>
        </w:rPr>
        <w:t xml:space="preserve"> application design, feature engineering, prompt/version management, model evaluation, inference </w:t>
      </w:r>
      <w:r>
        <w:rPr>
          <w:rFonts w:ascii="Arial" w:hAnsi="Arial" w:eastAsia="Arial"/>
          <w:b/>
          <w:color w:val="111111"/>
          <w:sz w:val="16"/>
        </w:rPr>
        <w:t>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search, embeddings, pg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, Pinecone, OpenSearch,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MLflow,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</w:t>
      </w:r>
      <w:r>
        <w:rPr>
          <w:rFonts w:ascii="Arial" w:hAnsi="Arial" w:eastAsia="Arial"/>
          <w:b/>
          <w:color w:val="111111"/>
          <w:sz w:val="16"/>
        </w:rPr>
        <w:t>FastAPI</w:t>
      </w:r>
      <w:r>
        <w:rPr>
          <w:rFonts w:ascii="Arial" w:hAnsi="Arial" w:eastAsia="Arial"/>
          <w:b w:val="0"/>
          <w:color w:val="111111"/>
          <w:sz w:val="16"/>
        </w:rPr>
        <w:t xml:space="preserve">, React,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Responsible AI guardrails,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Resolved production issues involving inconsistent model outputs, slow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guardrails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Integrated AI services with existing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LLM</w:t>
      </w:r>
      <w:r>
        <w:rPr>
          <w:rFonts w:ascii="Arial" w:hAnsi="Arial" w:eastAsia="Arial"/>
          <w:b w:val="0"/>
          <w:color w:val="111111"/>
          <w:sz w:val="16"/>
        </w:rPr>
        <w:t xml:space="preserve">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analytics and automation workflows for fundraising, donor management, imports, reporting, and activity history using backend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SQL,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embedding pipelines, document chunking,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 Workflow Automation Service: Designed inference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, guardrails, prompt versioning, and monitoring with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AI Agent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