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Go / gRPC Microservices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gRPC 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gRPC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Microservices,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gRPC</w:t>
      </w:r>
      <w:r>
        <w:rPr>
          <w:rFonts w:ascii="Aptos" w:hAnsi="Aptos" w:eastAsia="Aptos" w:cs="Aptos"/>
          <w:b w:val="0"/>
          <w:color w:val="212529"/>
          <w:sz w:val="16"/>
        </w:rPr>
        <w:t>, Microservices,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gRPC 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gRPC 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gRPC Microservices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gRPC Microservices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gRPC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Microservices,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Go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1.18-1.22, </w:t>
      </w:r>
      <w:r>
        <w:rPr>
          <w:rFonts w:ascii="Aptos" w:hAnsi="Aptos" w:eastAsia="Aptos" w:cs="Aptos"/>
          <w:b/>
          <w:color w:val="212529"/>
          <w:sz w:val="16"/>
        </w:rPr>
        <w:t>gRPC</w:t>
      </w:r>
      <w:r>
        <w:rPr>
          <w:rFonts w:ascii="Aptos" w:hAnsi="Aptos" w:eastAsia="Aptos" w:cs="Aptos"/>
          <w:b w:val="0"/>
          <w:color w:val="212529"/>
          <w:sz w:val="16"/>
        </w:rPr>
        <w:t>, Microservices,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