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Go / React Full Stack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Go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React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17-18, </w:t>
      </w:r>
      <w:r>
        <w:rPr>
          <w:rFonts w:ascii="Aptos" w:hAnsi="Aptos" w:eastAsia="Aptos" w:cs="Aptos"/>
          <w:b/>
          <w:color w:val="212529"/>
          <w:sz w:val="16"/>
        </w:rPr>
        <w:t>Go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1.18-1.22,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Full-Stack Engineering: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17-18, </w:t>
      </w:r>
      <w:r>
        <w:rPr>
          <w:rFonts w:ascii="Aptos" w:hAnsi="Aptos" w:eastAsia="Aptos" w:cs="Aptos"/>
          <w:b/>
          <w:color w:val="212529"/>
          <w:sz w:val="16"/>
        </w:rPr>
        <w:t>Go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1.18-1.22, secure API development, reusable UI architecture, service-layer design,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automation, and cloud-ready application delivery.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Frontend Delivery: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TypeScript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component libraries, state management, accessibility,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optimization, and dashboard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technical leadership, mentoring, design reviews, release planning, cross-functional collaboration, documentation, maintainability, and production ownership.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Go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React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full-stack feature delivery, API design, secure 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Go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React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Go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React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full-stack feature delivery, API design, secure 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Go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React Full Stack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17-18, </w:t>
      </w:r>
      <w:r>
        <w:rPr>
          <w:rFonts w:ascii="Aptos" w:hAnsi="Aptos" w:eastAsia="Aptos" w:cs="Aptos"/>
          <w:b/>
          <w:color w:val="212529"/>
          <w:sz w:val="16"/>
        </w:rPr>
        <w:t>Go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1.18-1.22,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17-18, </w:t>
      </w:r>
      <w:r>
        <w:rPr>
          <w:rFonts w:ascii="Aptos" w:hAnsi="Aptos" w:eastAsia="Aptos" w:cs="Aptos"/>
          <w:b/>
          <w:color w:val="212529"/>
          <w:sz w:val="16"/>
        </w:rPr>
        <w:t>Go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1.18-1.22,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