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Event-Driven Backend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(430) 279-2231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Event-Driven Backend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Event-driven architecture,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 while mentoring engineers and improving production support.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Backend Engineering: Event-driven architecture,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service orchestration, asynchronous processing, batch jobs, data access layers, caching, and high-volume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Architecture &amp; API Design: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Domain-Driven Design,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modular monoliths, </w:t>
      </w:r>
      <w:r>
        <w:rPr>
          <w:rFonts w:ascii="Aptos" w:hAnsi="Aptos" w:eastAsia="Aptos" w:cs="Aptos"/>
          <w:b/>
          <w:color w:val="212529"/>
          <w:sz w:val="16"/>
        </w:rPr>
        <w:t>event-driven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API versioning, OpenAPI/Swagger,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Messaging &amp; Integration: </w:t>
      </w:r>
      <w:r>
        <w:rPr>
          <w:rFonts w:ascii="Aptos" w:hAnsi="Aptos" w:eastAsia="Aptos" w:cs="Aptos"/>
          <w:b/>
          <w:color w:val="212529"/>
          <w:sz w:val="16"/>
        </w:rPr>
        <w:t>Kafka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RabbitMQ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SQS,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Service Bus, webhooks, idempotency keys, retry policies, circuit breakers, third-party integrations, and audit-safe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MongoDB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indexing, query tuning, schema design, migration planning, transaction handling, data validation,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profiling.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GCP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 basics, environment configuration, blue-green releases,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architectural decision records, code reviews, mentoring, estimation, production support, </w:t>
      </w:r>
      <w:r>
        <w:rPr>
          <w:rFonts w:ascii="Aptos" w:hAnsi="Aptos" w:eastAsia="Aptos" w:cs="Aptos"/>
          <w:b/>
          <w:color w:val="212529"/>
          <w:sz w:val="16"/>
        </w:rPr>
        <w:t>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reviews, legacy modernization, and stakeholder communication.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Event-Driven Backend</w:t>
      </w:r>
      <w:r>
        <w:rPr>
          <w:rFonts w:ascii="Aptos" w:hAnsi="Aptos" w:eastAsia="Aptos" w:cs="Aptos"/>
          <w:b w:val="0"/>
          <w:color w:val="212529"/>
          <w:sz w:val="16"/>
        </w:rPr>
        <w:t>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data modeling, message-driven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s, and cloud deployment,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Event-Driven Backend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Event-Driven Backend</w:t>
      </w:r>
      <w:r>
        <w:rPr>
          <w:rFonts w:ascii="Aptos" w:hAnsi="Aptos" w:eastAsia="Aptos" w:cs="Aptos"/>
          <w:b w:val="0"/>
          <w:color w:val="212529"/>
          <w:sz w:val="16"/>
        </w:rPr>
        <w:t>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data modeling, message-driven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and cloud deployment,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Event-Driven Backend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Enterprise Workflow Modernization Platform: Designed and delivered a modernization initiative using Event-driven architecture,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optimized SQL queries, structured logging, automated tests, and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 to stabilize high-volume operational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Secure Multi-Tenant Reporting Dashboard: Built a tenant-aware reporting platform using Event-driven architecture, secure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 caching,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, and DevOps pipelines for faster exports and reliable executive reporting.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