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37A3" w:rsidRDefault="00CD37A3" w:rsidP="00CD37A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CD37A3" w:rsidRDefault="00CD37A3" w:rsidP="00CD37A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CD37A3" w:rsidRDefault="00CD37A3" w:rsidP="00CD37A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273B0" w:rsidRDefault="00CD37A3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9+ years of experience building and owning cloud-native backend platforms with Go, AWS, and distributed systems patterns. Strong background designing production-grade microservices, scalable REST/gRPC APIs, and event-driven pi</w:t>
      </w:r>
      <w:r>
        <w:rPr>
          <w:rFonts w:ascii="Arial" w:eastAsia="Arial" w:hAnsi="Arial" w:cs="Arial"/>
          <w:color w:val="111111"/>
          <w:sz w:val="21"/>
          <w:szCs w:val="21"/>
        </w:rPr>
        <w:t>pelines with an emphasis on reliability, latency, and operational excellence. Proven ability to own complex integrations end-to-end, deliver resilient data flows, and build pragmatic architectures that balance speed with long-term maintainability. Experien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ced in performance tuning, concurrency-safe design, and observability-first development using structured logging, metrics, tracing, and SLO-driven operations. Adept at partnering with product and stakeholders to translate ambiguous enterprise requirements </w:t>
      </w:r>
      <w:r>
        <w:rPr>
          <w:rFonts w:ascii="Arial" w:eastAsia="Arial" w:hAnsi="Arial" w:cs="Arial"/>
          <w:color w:val="111111"/>
          <w:sz w:val="21"/>
          <w:szCs w:val="21"/>
        </w:rPr>
        <w:t>into secure, compliant, and scalable backend systems.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 (Golang)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 Concurrency (goroutines, channels, context)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Bash/Shell Scripting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 Architecture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gRPC &amp; Protobuf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 &amp; Exactly/At-Least-Once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(read-through, write-through)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Retries, Backoff, Circuit Breakers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(JWT, OAuth2)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Documentation (OpenAPI/Swagger)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ata Modeling &amp; Schema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Workers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 &amp; B2B Integrations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Echo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 kit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GORM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pgx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Testify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GoMock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Wire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Zap/Logrus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Cobra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Elasticsearch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DynamoDB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Kafka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SQS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RabbitMQ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EC2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Lambda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IAM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VPC Networking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 Run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GKE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Kubernetes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 Actions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GitLab CI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(Terraform)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&amp; Canary Deployments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 (OpenTelemetry)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(Prometheus)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Dashboards (Grafana)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Tracing (Jaeger)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Log Aggregation &amp; 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&amp; On-Call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Definition and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Unit/Integration Testing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Contract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Load/Stress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</w:t>
            </w:r>
          </w:p>
        </w:tc>
      </w:tr>
      <w:tr w:rsidR="009273B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Least-Privilege IAM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CD37A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 API Security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9273B0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273B0" w:rsidRDefault="009273B0"/>
        </w:tc>
      </w:tr>
    </w:tbl>
    <w:p w:rsidR="009273B0" w:rsidRDefault="009273B0">
      <w:pPr>
        <w:spacing w:after="80"/>
      </w:pP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multiple Go backend services from design to production, defining clear domain boundaries, service contracts, and deployment patterns that kept latency predictable as traffic and tenants scaled.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high-throughput REST and gR</w:t>
      </w:r>
      <w:r>
        <w:rPr>
          <w:rFonts w:ascii="Arial" w:eastAsia="Arial" w:hAnsi="Arial" w:cs="Arial"/>
          <w:color w:val="111111"/>
        </w:rPr>
        <w:t>PC APIs in Go with strict request validation, consistent error models, and backward-compatible versioning to support long-lived enterprise integrations.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event-driven workflows using Kafka and AWS messaging primitives to decouple core domains, ensur</w:t>
      </w:r>
      <w:r>
        <w:rPr>
          <w:rFonts w:ascii="Arial" w:eastAsia="Arial" w:hAnsi="Arial" w:cs="Arial"/>
          <w:color w:val="111111"/>
        </w:rPr>
        <w:t>ing resilient processing with idempotency keys, replayability, and well-defined failure handling semantics.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p95 and p99 response times by profiling hotspots, reducing lock contention, and optimizing SQL access patterns with PostgreSQL indexes, p</w:t>
      </w:r>
      <w:r>
        <w:rPr>
          <w:rFonts w:ascii="Arial" w:eastAsia="Arial" w:hAnsi="Arial" w:cs="Arial"/>
          <w:color w:val="111111"/>
        </w:rPr>
        <w:t>repared statements, and carefully tuned connection pools.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Implemented robust observability by standardizing structured logs, metrics, and distributed tracing, enabling fast root-cause analysis and clearer service ownership across a growing microservice f</w:t>
      </w:r>
      <w:r>
        <w:rPr>
          <w:rFonts w:ascii="Arial" w:eastAsia="Arial" w:hAnsi="Arial" w:cs="Arial"/>
          <w:color w:val="111111"/>
        </w:rPr>
        <w:t>leet.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a reliability initiative that introduced SLOs and error budgets, turning incident learnings into concrete engineering actions like timeout policies, circuit breakers, and controlled retry strategies.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secure authentication and authorization layers using JWT and OAuth2 flows, ensuring least-privilege access and auditable permissions for multi-tenant enterprise customers and internal tooling.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data pipelines that synchronized third-party systems via webhooks and batch jobs, handling partial failures with deduplication, deterministic retries, and reconciliation reports for stakeholders.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Modernized CI/CD pipelines for Go services wit</w:t>
      </w:r>
      <w:r>
        <w:rPr>
          <w:rFonts w:ascii="Arial" w:eastAsia="Arial" w:hAnsi="Arial" w:cs="Arial"/>
          <w:color w:val="111111"/>
        </w:rPr>
        <w:t>h reproducible builds, automated tests, and progressive releases, reducing deployment risk while increasing delivery frequency for backend changes.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QA to convert ambiguous requirements into precise API behaviors, edge-case rule</w:t>
      </w:r>
      <w:r>
        <w:rPr>
          <w:rFonts w:ascii="Arial" w:eastAsia="Arial" w:hAnsi="Arial" w:cs="Arial"/>
          <w:color w:val="111111"/>
        </w:rPr>
        <w:t>s, and acceptance criteria that prevented regressions and reduced support escalations.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services against abuse and downstream instability by adding rate limits, request size guards, and adaptive backpressure, keeping critical workflows stable dur</w:t>
      </w:r>
      <w:r>
        <w:rPr>
          <w:rFonts w:ascii="Arial" w:eastAsia="Arial" w:hAnsi="Arial" w:cs="Arial"/>
          <w:color w:val="111111"/>
        </w:rPr>
        <w:t>ing traffic spikes.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caching with Redis for read-heavy endpoints and expensive aggregations, carefully managing TTLs, cache invalidation, and fallbacks to protect database capacity under peak load.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internal developer tooling in Go to</w:t>
      </w:r>
      <w:r>
        <w:rPr>
          <w:rFonts w:ascii="Arial" w:eastAsia="Arial" w:hAnsi="Arial" w:cs="Arial"/>
          <w:color w:val="111111"/>
        </w:rPr>
        <w:t xml:space="preserve"> automate operational tasks like replaying messages, validating payload contracts, and running safe backfills with guardrails and dry-run modes.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Conducted deep code reviews focused on concurrency safety, context propagation, and resource cleanup, raising</w:t>
      </w:r>
      <w:r>
        <w:rPr>
          <w:rFonts w:ascii="Arial" w:eastAsia="Arial" w:hAnsi="Arial" w:cs="Arial"/>
          <w:color w:val="111111"/>
        </w:rPr>
        <w:t xml:space="preserve"> team standards for Go patterns that prevent leaks and subtle production bugs.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complex backend work such as query tuning, distributed tracing interpretation, and incident postmortems, helping the team ship faster without sacrif</w:t>
      </w:r>
      <w:r>
        <w:rPr>
          <w:rFonts w:ascii="Arial" w:eastAsia="Arial" w:hAnsi="Arial" w:cs="Arial"/>
          <w:color w:val="111111"/>
        </w:rPr>
        <w:t>icing reliability.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Go-based backend APIs powering SaaS workflows, ensuring stable contracts for UI and partner integrations while keeping the service layer cleanly separate</w:t>
      </w:r>
      <w:r>
        <w:rPr>
          <w:rFonts w:ascii="Arial" w:eastAsia="Arial" w:hAnsi="Arial" w:cs="Arial"/>
          <w:color w:val="111111"/>
        </w:rPr>
        <w:t>d from persistence logic.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processing and scheduled jobs for data synchronization, using durable queues and defensive idempotency patterns to avoid duplicates and ensure recoverable processing under failures.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rel</w:t>
      </w:r>
      <w:r>
        <w:rPr>
          <w:rFonts w:ascii="Arial" w:eastAsia="Arial" w:hAnsi="Arial" w:cs="Arial"/>
          <w:color w:val="111111"/>
        </w:rPr>
        <w:t>iability by refining PostgreSQL schemas, adding targeted indexes, and tuning query plans, which reduced slow queries and improved overall responsiveness for customer-facing endpoints.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consistent logging and request correlation across services </w:t>
      </w:r>
      <w:r>
        <w:rPr>
          <w:rFonts w:ascii="Arial" w:eastAsia="Arial" w:hAnsi="Arial" w:cs="Arial"/>
          <w:color w:val="111111"/>
        </w:rPr>
        <w:t>so support and engineering could trace failures end-to-end, cutting time-to-diagnosis during production issues and hotfix releases.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API security patterns with token-based access and permission checks, enabling multi-tenant isolation and reducing</w:t>
      </w:r>
      <w:r>
        <w:rPr>
          <w:rFonts w:ascii="Arial" w:eastAsia="Arial" w:hAnsi="Arial" w:cs="Arial"/>
          <w:color w:val="111111"/>
        </w:rPr>
        <w:t xml:space="preserve"> the blast radius of misconfigured clients or accidental data exposure.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frontend engineers to define efficient payload shapes, pagination strategies, and filtering semantics, reducing over-fetching and improving perceived perfor</w:t>
      </w:r>
      <w:r>
        <w:rPr>
          <w:rFonts w:ascii="Arial" w:eastAsia="Arial" w:hAnsi="Arial" w:cs="Arial"/>
          <w:color w:val="111111"/>
        </w:rPr>
        <w:t>mance in the UI.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integration adapters for third-party APIs, implementing robust retry and backoff policies plus detailed error mapping so downstream failures were visible and actionable rather than silent.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Automated build and release steps for </w:t>
      </w:r>
      <w:r>
        <w:rPr>
          <w:rFonts w:ascii="Arial" w:eastAsia="Arial" w:hAnsi="Arial" w:cs="Arial"/>
          <w:color w:val="111111"/>
        </w:rPr>
        <w:t>backend services using CI pipelines, enforcing linting and tests to reduce regressions while supporting faster iteration during tight delivery windows.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Performed production troubleshooting by analyzing logs and metrics, then shipping targeted fixes like </w:t>
      </w:r>
      <w:r>
        <w:rPr>
          <w:rFonts w:ascii="Arial" w:eastAsia="Arial" w:hAnsi="Arial" w:cs="Arial"/>
          <w:color w:val="111111"/>
        </w:rPr>
        <w:t>timeout tuning, improved validation, and safer defaults that reduced recurring incidents over time.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into clearer Go packages with explicit interfaces, improving testability and enabling parallel development without frequent merg</w:t>
      </w:r>
      <w:r>
        <w:rPr>
          <w:rFonts w:ascii="Arial" w:eastAsia="Arial" w:hAnsi="Arial" w:cs="Arial"/>
          <w:color w:val="111111"/>
        </w:rPr>
        <w:t>e conflicts or brittle coupling.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technical documentation for APIs and operational runbooks, making deployments, rollbacks, and common failure scenarios easier for the team to handle consistently.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services and internal APIs, emphasizing correctness and maintainability while evolving data models to meet changing business requirements across multiple stakeholders.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performant SQL</w:t>
      </w:r>
      <w:r>
        <w:rPr>
          <w:rFonts w:ascii="Arial" w:eastAsia="Arial" w:hAnsi="Arial" w:cs="Arial"/>
          <w:color w:val="111111"/>
        </w:rPr>
        <w:t xml:space="preserve"> queries and transactional workflows in PostgreSQL/MySQL, reducing reporting delays and improving data integrity through careful constraint design and validation logic.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early service components in Go for concurrency-heavy tasks, applying safe gorou</w:t>
      </w:r>
      <w:r>
        <w:rPr>
          <w:rFonts w:ascii="Arial" w:eastAsia="Arial" w:hAnsi="Arial" w:cs="Arial"/>
          <w:color w:val="111111"/>
        </w:rPr>
        <w:t>tine patterns and context-aware cancellation to prevent resource leaks and long-running runaway processes.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Created integration utilities to ingest and normalize partner data feeds, adding strong validation, detailed error reporting, and reconciliation outputs that improved trust in downstream reporting.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production support outcomes by strengthening </w:t>
      </w:r>
      <w:r>
        <w:rPr>
          <w:rFonts w:ascii="Arial" w:eastAsia="Arial" w:hAnsi="Arial" w:cs="Arial"/>
          <w:color w:val="111111"/>
        </w:rPr>
        <w:t>logging and operational diagnostics, enabling faster issue triage and clearer communication between engineering and non-technical teams.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deployment and environment standardization as practices matured, helping teams adopt repeatable build </w:t>
      </w:r>
      <w:r>
        <w:rPr>
          <w:rFonts w:ascii="Arial" w:eastAsia="Arial" w:hAnsi="Arial" w:cs="Arial"/>
          <w:color w:val="111111"/>
        </w:rPr>
        <w:t>steps and safer configuration management for multi-environment releases.</w:t>
      </w:r>
    </w:p>
    <w:p w:rsidR="009273B0" w:rsidRDefault="00CD37A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through reviews and incremental refactors, focusing on clearer boundaries, reduced duplication, and tests around critical business rules that historically caused</w:t>
      </w:r>
      <w:r>
        <w:rPr>
          <w:rFonts w:ascii="Arial" w:eastAsia="Arial" w:hAnsi="Arial" w:cs="Arial"/>
          <w:color w:val="111111"/>
        </w:rPr>
        <w:t xml:space="preserve"> regressions.</w:t>
      </w:r>
    </w:p>
    <w:p w:rsidR="009273B0" w:rsidRDefault="009273B0">
      <w:pPr>
        <w:spacing w:after="80"/>
      </w:pP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273B0" w:rsidRDefault="009273B0">
      <w:pPr>
        <w:spacing w:after="80"/>
      </w:pPr>
    </w:p>
    <w:sectPr w:rsidR="009273B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6F2540"/>
    <w:multiLevelType w:val="hybridMultilevel"/>
    <w:tmpl w:val="7E842F0E"/>
    <w:lvl w:ilvl="0" w:tplc="A5DEE724">
      <w:start w:val="1"/>
      <w:numFmt w:val="bullet"/>
      <w:lvlText w:val="●"/>
      <w:lvlJc w:val="left"/>
      <w:pPr>
        <w:ind w:left="720" w:hanging="360"/>
      </w:pPr>
    </w:lvl>
    <w:lvl w:ilvl="1" w:tplc="CC58DB64">
      <w:start w:val="1"/>
      <w:numFmt w:val="bullet"/>
      <w:lvlText w:val="○"/>
      <w:lvlJc w:val="left"/>
      <w:pPr>
        <w:ind w:left="1440" w:hanging="360"/>
      </w:pPr>
    </w:lvl>
    <w:lvl w:ilvl="2" w:tplc="39804832">
      <w:start w:val="1"/>
      <w:numFmt w:val="bullet"/>
      <w:lvlText w:val="■"/>
      <w:lvlJc w:val="left"/>
      <w:pPr>
        <w:ind w:left="2160" w:hanging="360"/>
      </w:pPr>
    </w:lvl>
    <w:lvl w:ilvl="3" w:tplc="F8824740">
      <w:start w:val="1"/>
      <w:numFmt w:val="bullet"/>
      <w:lvlText w:val="●"/>
      <w:lvlJc w:val="left"/>
      <w:pPr>
        <w:ind w:left="2880" w:hanging="360"/>
      </w:pPr>
    </w:lvl>
    <w:lvl w:ilvl="4" w:tplc="B97EC1DE">
      <w:start w:val="1"/>
      <w:numFmt w:val="bullet"/>
      <w:lvlText w:val="○"/>
      <w:lvlJc w:val="left"/>
      <w:pPr>
        <w:ind w:left="3600" w:hanging="360"/>
      </w:pPr>
    </w:lvl>
    <w:lvl w:ilvl="5" w:tplc="E8FA5ED8">
      <w:start w:val="1"/>
      <w:numFmt w:val="bullet"/>
      <w:lvlText w:val="■"/>
      <w:lvlJc w:val="left"/>
      <w:pPr>
        <w:ind w:left="4320" w:hanging="360"/>
      </w:pPr>
    </w:lvl>
    <w:lvl w:ilvl="6" w:tplc="E546697E">
      <w:start w:val="1"/>
      <w:numFmt w:val="bullet"/>
      <w:lvlText w:val="●"/>
      <w:lvlJc w:val="left"/>
      <w:pPr>
        <w:ind w:left="5040" w:hanging="360"/>
      </w:pPr>
    </w:lvl>
    <w:lvl w:ilvl="7" w:tplc="A30217EC">
      <w:start w:val="1"/>
      <w:numFmt w:val="bullet"/>
      <w:lvlText w:val="●"/>
      <w:lvlJc w:val="left"/>
      <w:pPr>
        <w:ind w:left="5760" w:hanging="360"/>
      </w:pPr>
    </w:lvl>
    <w:lvl w:ilvl="8" w:tplc="401AA9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9273B0"/>
    <w:rsid w:val="009273B0"/>
    <w:rsid w:val="00CD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81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1356</Words>
  <Characters>7732</Characters>
  <Application>Microsoft Office Word</Application>
  <DocSecurity>0</DocSecurity>
  <Lines>64</Lines>
  <Paragraphs>18</Paragraphs>
  <ScaleCrop>false</ScaleCrop>
  <Company>P R C</Company>
  <LinksUpToDate>false</LinksUpToDate>
  <CharactersWithSpaces>9070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2026-01-27T18:42:00Z</dcterms:created>
  <dcterms:modified xsi:type="dcterms:W3CDTF">2026-02-19T01:54:00Z</dcterms:modified>
</cp:coreProperties>
</file>