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Frontend Engineer - Svelte and SvelteKit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Frontend Engineer with 10+ years delivering B2B SaaS, e-commerce, and enterprise operations platforms using Svelte 3-5, SvelteKit, TypeScript, JavaScript ES6+, stores, SSR, routing, form actions, Tailwind CSS; combines frontend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UI Architecture: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Design systems, reusable component libraries, micro-frontends, responsive layouts, accessibility/WCAG, internationalization, typed forms, state management and browser compatibility.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Performance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Code splitting, lazy loading, virtualized lists, memoization, bundle analysis, image optimization, caching, Core Web Vitals and browser profiling.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Security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REST, GraphQL, WebSockets, OpenAPI clients, OAuth 2.0, OpenID Connect, JWT, RBAC, secure cookies, CSRF protection and consistent error handling.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CloudFront/S3/Lambda, Azure Static Web Apps/App Service, GCP Cloud Run/Storage, Docker, Kubernetes, Terraform, GitHub Actions and CDN delivery.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TypeScript, JavaScript ES6+, stores, SSR, routing, form actions, Tailwind CSS, Vite, Storybook and accessible component architecture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Design System and Operations Portal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component and application architecture using Svelte 3-5, SvelteKit, TypeScript, JavaScript ES6+, stores, SSR, routing, form actions, Tailwind CSS, Vite, Storybook and accessible component architecture, supporting customer portals, administration tools, reporting and complex form-based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accessibility standards, typed API clients, route-level code splitting, virtualized data grids, Storybook documentation, automated UI testing and performance telemetry.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Frontend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legacy web modules into a modern component-based architecture with typed state, documented design tokens and independently releasable feature areas.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oversized bundles, inconsistent validation, fragile authentication flows and limited browser visibility through staged upgrades and automated quality gates.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Frontend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Frontend Engineer - Svelte and SvelteKit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