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React and Next.js, Ruby on Rails,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React 16-19, Next.js 12-15, TypeScript 4-5, App Router, server components, SSR, SSG, ISR, Redux Toolkit;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React 16-19, Next.js 12-15, TypeScript 4-5, App Router, server components, SSR, SSG, ISR, Redux Toolkit, React Query, Zustand, React Hook Form, Storybook, Material UI and Tailwind CSS.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Ruby 2.6-3.3, Rails 5-7, Rack, Active Record, Sidekiq, service objects, REST, GraphQL, Hotwire integration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Elasticsearch, Kafka, RabbitMQ and SQS,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Jest, React Testing Library, Vitest, Cypress, Playwright, Lighthouse, axe-core and visual regression testing; RSpec, Minitest, FactoryBot, Capybara, Testcontainers, Pact, RuboCop, Brakeman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Ruby 2.7-3.3, Rails 6-7, Sidekiq, and PostgreSQL;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React and Next.js, Ruby on Rails, AWS,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Ruby 2.7-3.3, Rails 6-7, Sidekiq, and PostgreSQL;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Ruby 2.5-3.0, Rails 5-6, and Redis-backed jobs;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Ruby 2.5-3.0, Rails 5-6, and Redis-backed jobs;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0.13 and later React 15-16 with JavaScript ES6; backend services with Ruby 2.2-2.6, Rails 4-5, and PostgreSQL;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Ruby 2.1-2.2, Rails 4, and server-rendered applications;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Ruby 2.0, MVC fundamentals, and SQL-backed utilities;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React and Next.js, Ruby on Rails, AWS,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React and Next.js, Ruby on Rails, AWS,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React and Next.js, Ruby on Rails,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