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Angular, Rust, GCP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Angular 8-19, AngularJS, TypeScript 3-5, RxJS, NgRx, Angular Signals, standalone components;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Angular 8-19, AngularJS, TypeScript 3-5, RxJS, NgRx, Angular Signals, standalone components, reactive forms, Angular Material, PrimeNG, Nx monorepos, Storybook and Angular Universal.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Rust, Cargo, Tokio, Axum, Actix Web, Rocket, Serde, SQLx, Diesel, async/await, ownership, lifetimes, traits, channels and memory-safe concurrency.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GCP Cloud Run, GKE, Compute Engine, Cloud Functions, Cloud SQL, BigQuery, Pub/Sub, Cloud Storage, IAM, Secret Manager and Cloud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Kafka, NATS and cloud messaging,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Jasmine, Karma, Jest, Angular Testing Library, Cypress, Playwright, Lighthouse and axe-core; Cargo test, property-based testing, mockall, criterion, cargo-fuzz, clippy, rustfmt, Testcontainers, Pact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Rust 1.45-1.85, Tokio, Axum/Actix, and SQLx;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Angular, Rust, GCP,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Rust 1.45-1.85, Tokio, Axum/Actix, and SQLx;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Rust 1.29-1.56, async services, and PostgreSQL integration;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Rust 1.29-1.56, async services, and PostgreSQL integration;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1.x and later Angular 2-6 with TypeScript; backend services with Rust 1.0 and later stable releases for systems utilities;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memory-safe systems utilities and C-compatible integrations;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systems programming fundamentals and low-level debugging;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Angular, Rust, GCP,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Angular, Rust, GCP,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Angular, Rust, GCP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