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Frontend Engineer - React and Next.js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Frontend Engineer with 10+ years delivering enterprise SaaS, workflow automation, data-intensive services, and cloud-integrated products, specializing in React 18-19 and Next.js 13-15 on AWS and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mismatches, stale client state, accessibility regressions, rendering defects, and oversized bundles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component-driven architecture, design tokens, route-level code splitting, and contract-tested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 4.9-5.x, JavaScript ES2020+, HTML5, CSS3, Tailwind CSS, Sass, design systems, accessibility WCAG 2.2, responsive design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 Testing &amp; Performance: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Jest, Vitest, Testing Library, Cypress, Playwright, Storybook, Lighthouse, Web Vitals, bundle analysis, SSR/SSG, caching, browser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 and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Frontend Engineer - React and Next.js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typed API clients, accessible design systems, state management, and browser performance tooling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Enterprise Experience Platform - React and Next.js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Designed a multi-tenant web platform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typed API clients, accessibility controls, design tokens, Storybook, and end-to-end tests; added SSR or route-level optimization, caching, and observability to improve page responsiveness and support safe incremental migration from a legacy UI.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Frontend Reliability and Design System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Built a governed component library with visual regression tests, WCAG 2.2 checks, usage analytics, codemods, and release automation; standardized forms, navigation, tables, error states, and feature flags so multiple product teams could deliver consistent user experiences with lower defect risk.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and 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Frontend Engineer - React and Next.js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Frontend Engineer - React and Next.js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