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71086" w:rsidRDefault="00271086" w:rsidP="00271086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271086" w:rsidRDefault="00271086" w:rsidP="00271086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271086" w:rsidRDefault="00271086" w:rsidP="00271086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richard.bozeman.1992@outlook.com | linkedin.com/in/richard-bozeman-0a8b9a3a6 | Florida, United States |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8E2186" w:rsidRDefault="00851323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8E2186" w:rsidRDefault="00851323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the glue that keeps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work—let’s connect.</w:t>
      </w:r>
    </w:p>
    <w:p w:rsidR="008E2186" w:rsidRDefault="0085132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8E218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 (3.x) application development for production services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 design, versioning, and backward compatibility strategy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FastAPI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service development with dependency injection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Django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Django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REST Framework for data-driven applications</w:t>
            </w:r>
          </w:p>
        </w:tc>
      </w:tr>
      <w:tr w:rsidR="008E218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I/O with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asyncio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for high-concurrency workloads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jobs with queue-based processing and retry semantics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modeling, migrations, and schema evolution planning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 performance tuning (indexes, query plans, lock contention)</w:t>
            </w:r>
          </w:p>
        </w:tc>
      </w:tr>
      <w:tr w:rsidR="008E218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 (request caching, object caching, TTL policies)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deduplication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and exactly-once style workflows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Fault isolation, circuit breakers, timeouts, and bulkheads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Rate limiting, pagination, filtering, and stable sorting contracts</w:t>
            </w:r>
          </w:p>
        </w:tc>
      </w:tr>
      <w:tr w:rsidR="008E218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Structured logging and correlation IDs for production debugging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 secret handling and configuration management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Integration patterns with third-party APIs and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Testing strategy (unit, integration, contract tests) with CI gates</w:t>
            </w:r>
          </w:p>
        </w:tc>
      </w:tr>
      <w:tr w:rsidR="008E218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Vue.js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Vue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2/3) component architecture and state management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-first UI development for large front-end codebases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Composable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UI patterns with reusable components and design tokens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Client-side routing, lazy loading, and performance budgeting</w:t>
            </w:r>
          </w:p>
        </w:tc>
      </w:tr>
      <w:tr w:rsidR="008E218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Form validation, error states, and resilient UX for API failures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client design with typed contracts and consistent error mapping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flows (token refresh, session handling, logout safety)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Accessibility-minded UI implementation and keyboard navigation</w:t>
            </w:r>
          </w:p>
        </w:tc>
      </w:tr>
      <w:tr w:rsidR="008E218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Testing approach for UI behavior (unit + integration focus)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Build tooling, bundling strategy, and release-safe front-end deploys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fundamentals for app hosting and deployment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automation mindset (repeatable environments, drift control)</w:t>
            </w:r>
          </w:p>
        </w:tc>
      </w:tr>
      <w:tr w:rsidR="008E218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 with gated checks and release safety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Containerization concepts, image hygiene, and runtime configuration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foundations (logs, metrics, traces) and alert hygiene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Operational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on-call readiness, and incident retrospectives</w:t>
            </w:r>
          </w:p>
        </w:tc>
      </w:tr>
      <w:tr w:rsidR="008E218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Blue/green and canary rollout strategies with rapid rollback planning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Environment separation, configuration promotion, and secrets rotation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profiling in production-like environments and capacity planning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Relational databases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/MySQL) and transactional modeling</w:t>
            </w:r>
          </w:p>
        </w:tc>
      </w:tr>
      <w:tr w:rsidR="008E218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Document storage patterns where appropriate (schema discipline, indexing)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Message-driven design with durable queues and backpressure handling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consistency strategies (eventual consistency, reconciliation jobs)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ETL-style batch processing with validation and auditability</w:t>
            </w:r>
          </w:p>
        </w:tc>
      </w:tr>
      <w:tr w:rsidR="008E218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Secure-by-default API practices (input validation,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authz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boundaries)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OWASP-aligned thinking for common web risks and mitigations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Principle of least privilege for services and operational access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Audit-friendly logging without leaking sensitive data</w:t>
            </w:r>
          </w:p>
        </w:tc>
      </w:tr>
      <w:tr w:rsidR="008E218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Threat modeling-lite during design to reduce surprise attack paths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SLO/SLI thinking for reliability targets and measurable outcomes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and maintainable boundaries across modules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 with risk control and staged rollouts</w:t>
            </w:r>
          </w:p>
        </w:tc>
      </w:tr>
      <w:tr w:rsidR="008E218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focused on correctness, readability, and operability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Technical mentorship, pairing, and raising the team baseline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communication with clear acceptance criteria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Estimation hygiene and surfacing tradeoffs early to reduce churn</w:t>
            </w:r>
          </w:p>
        </w:tc>
      </w:tr>
      <w:tr w:rsidR="008E218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5132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Post-incident learning culture and pragmatic follow-through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E2186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E2186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2186" w:rsidRDefault="008E2186"/>
        </w:tc>
      </w:tr>
    </w:tbl>
    <w:p w:rsidR="008E2186" w:rsidRDefault="008E2186">
      <w:pPr>
        <w:spacing w:after="80"/>
      </w:pPr>
    </w:p>
    <w:p w:rsidR="008E2186" w:rsidRDefault="0085132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EXPERIENCE</w:t>
      </w:r>
    </w:p>
    <w:p w:rsidR="008E2186" w:rsidRDefault="0085132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8E2186" w:rsidRDefault="00851323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8E2186" w:rsidRDefault="00851323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end-to-end delivery for multiple product areas, translating ambiguous stakeholder goals into scoped milestones, crisp acceptance criteria, and release plans that reduced churn and rework across teams.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and shipped Python-based backend services and REST APIs with predictable versioning, careful deprecation strategy, and stable contracts so client applications could evolve without breaking production users.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reliability into critical flows by tightening timeout and retry behavior, eliminating hidden coupling, and adding safe defaults so partial outages degraded gracefully rather than cascading into platform-wide incidents.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operational clarity by standardizing structured logs, request correlation, and actionable alerting, which materially shortened time-to-diagnosis during high-pressure production troubleshooting.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performance improvements by profiling hotspots, reducing noisy queries, and implementing caching and pagination patterns, resulting in more consistent latency under peak traffic and fewer database contention spikes.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Drove security-first changes by hardening input validation, clarifying authorization boundaries, and ensuring secrets and configuration were handled safely across environments without leaking sensitive data into logs.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CI/CD by adding meaningful quality gates, deterministic builds, and safer rollout patterns, which lowered deployment anxiety and made rollbacks and hotfixes fast and routine when needed.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closely with product and QA to define edge cases early, align on behavior during failure scenarios, and prevent late-stage surprises that previously surfaced only during release candidate testing.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background processing patterns with durable queues, idempotent handlers, and observable retries so long-running work became dependable and easy to support without manual intervention.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Standardized API error semantics and response envelopes across services, enabling front-end teams to implement consistent UX for failures while keeping server-side behavior measurable and auditable.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Contributed to cloud hosting and environment promotion practices by improving configuration discipline, separating concerns by stage, and ensuring release artifacts behaved consistently across </w:t>
      </w:r>
      <w:proofErr w:type="spellStart"/>
      <w:r>
        <w:rPr>
          <w:rFonts w:ascii="Arial" w:eastAsia="Arial" w:hAnsi="Arial" w:cs="Arial"/>
          <w:color w:val="111111"/>
        </w:rPr>
        <w:t>dev</w:t>
      </w:r>
      <w:proofErr w:type="spellEnd"/>
      <w:r>
        <w:rPr>
          <w:rFonts w:ascii="Arial" w:eastAsia="Arial" w:hAnsi="Arial" w:cs="Arial"/>
          <w:color w:val="111111"/>
        </w:rPr>
        <w:t>, staging, and production.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Introduced practical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and on-call readiness improvements, documenting known failure modes and decision trees so responders could act quickly and confidently during late-night incidents.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design reviews and code reviews, focusing on maintainability and operability, and raising the bar on testing strategy so changes shipped with fewer regressions.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Improved cross-service integration reliability by tightening </w:t>
      </w:r>
      <w:proofErr w:type="spellStart"/>
      <w:r>
        <w:rPr>
          <w:rFonts w:ascii="Arial" w:eastAsia="Arial" w:hAnsi="Arial" w:cs="Arial"/>
          <w:color w:val="111111"/>
        </w:rPr>
        <w:t>webhook</w:t>
      </w:r>
      <w:proofErr w:type="spellEnd"/>
      <w:r>
        <w:rPr>
          <w:rFonts w:ascii="Arial" w:eastAsia="Arial" w:hAnsi="Arial" w:cs="Arial"/>
          <w:color w:val="111111"/>
        </w:rPr>
        <w:t xml:space="preserve"> handling, implementing signature verification and replay protections where </w:t>
      </w:r>
      <w:proofErr w:type="gramStart"/>
      <w:r>
        <w:rPr>
          <w:rFonts w:ascii="Arial" w:eastAsia="Arial" w:hAnsi="Arial" w:cs="Arial"/>
          <w:color w:val="111111"/>
        </w:rPr>
        <w:t>needed,</w:t>
      </w:r>
      <w:proofErr w:type="gramEnd"/>
      <w:r>
        <w:rPr>
          <w:rFonts w:ascii="Arial" w:eastAsia="Arial" w:hAnsi="Arial" w:cs="Arial"/>
          <w:color w:val="111111"/>
        </w:rPr>
        <w:t xml:space="preserve"> and ensuring downstream dependencies were isolated from spikes.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Regularly communicated risk, progress, and tradeoffs in plain language, keeping stakeholders aligned while protecting engineering focus and ensuring delivery remained predictable even under shifting priorities.</w:t>
      </w:r>
    </w:p>
    <w:p w:rsidR="008E2186" w:rsidRDefault="00851323">
      <w:pPr>
        <w:pBdr>
          <w:bottom w:val="dashed" w:sz="4" w:space="0" w:color="CFD2CD"/>
        </w:pBdr>
        <w:spacing w:after="120"/>
      </w:pPr>
      <w:r>
        <w:t xml:space="preserve"> </w:t>
      </w:r>
    </w:p>
    <w:p w:rsidR="008E2186" w:rsidRDefault="0085132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8E2186" w:rsidRDefault="00851323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8E2186" w:rsidRDefault="00851323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backend features and integrations with a strong focus on correctness and operability, ensuring production systems behaved predictably during frequent change and tight customer timelines.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and maintained Python services and API endpoints with careful validation, consistent error handling, and defensive programming so edge cases did not become recurring support escalations.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release automation by refining CI/CD workflows, reducing manual steps, and establishing repeatable deployment checks that lowered rollout risk and reduced downtime during releases.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front-end engineers to align API contracts, pagination rules, and error semantics so UI behavior remained stable even when upstream dependencies returned partial failures or slow responses.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Strengthened reliability through pragmatic fault isolation patterns, including sensible timeouts, retries with </w:t>
      </w:r>
      <w:proofErr w:type="spellStart"/>
      <w:r>
        <w:rPr>
          <w:rFonts w:ascii="Arial" w:eastAsia="Arial" w:hAnsi="Arial" w:cs="Arial"/>
          <w:color w:val="111111"/>
        </w:rPr>
        <w:t>backoff</w:t>
      </w:r>
      <w:proofErr w:type="spellEnd"/>
      <w:r>
        <w:rPr>
          <w:rFonts w:ascii="Arial" w:eastAsia="Arial" w:hAnsi="Arial" w:cs="Arial"/>
          <w:color w:val="111111"/>
        </w:rPr>
        <w:t>, and safeguards against duplicate processing in background job pipelines.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database performance by analyzing query patterns, adding appropriate indexes, and reducing unnecessary round trips, which improved response consistency and reduced lock contention under load.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robust integrations with third-party vendors by implementing request signing, resilient </w:t>
      </w:r>
      <w:proofErr w:type="spellStart"/>
      <w:r>
        <w:rPr>
          <w:rFonts w:ascii="Arial" w:eastAsia="Arial" w:hAnsi="Arial" w:cs="Arial"/>
          <w:color w:val="111111"/>
        </w:rPr>
        <w:t>webhook</w:t>
      </w:r>
      <w:proofErr w:type="spellEnd"/>
      <w:r>
        <w:rPr>
          <w:rFonts w:ascii="Arial" w:eastAsia="Arial" w:hAnsi="Arial" w:cs="Arial"/>
          <w:color w:val="111111"/>
        </w:rPr>
        <w:t xml:space="preserve"> ingestion, and reconciliation jobs to handle missing events and eventual consistency realities.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Introduced better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 xml:space="preserve"> habits by standardizing structured logs and key metrics, enabling faster incident triage and clearer accountability when services degraded unexpectedly.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Wrote maintainable tests around core business logic and critical endpoints, targeting failure modes and regressions that previously slipped through, while keeping test suites fast enough for CI.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Partnered with product owners and QA to define acceptance criteria early, clarify edge-case behavior, and reduce the number of late-cycle requirement reversals that slowed delivery.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team execution by contributing to code reviews and lightweight design discussions, focusing on boring-by-design solutions that stayed stable in production and were easy to support.</w:t>
      </w:r>
    </w:p>
    <w:p w:rsidR="008E2186" w:rsidRDefault="00851323">
      <w:pPr>
        <w:pBdr>
          <w:bottom w:val="dashed" w:sz="4" w:space="0" w:color="CFD2CD"/>
        </w:pBdr>
        <w:spacing w:after="120"/>
      </w:pPr>
      <w:r>
        <w:t xml:space="preserve"> </w:t>
      </w:r>
    </w:p>
    <w:p w:rsidR="008E2186" w:rsidRDefault="0085132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8E2186" w:rsidRDefault="00851323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8E2186" w:rsidRDefault="00851323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customer-facing application features with careful attention to stability, ensuring new functionality integrated safely into existing workflows while minimizing user disruption and regressions.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backend capabilities and API enhancements with consistent validation and clear error messages, reducing downstream issues caused by unexpected inputs and improving overall support efficiency.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Contributed to </w:t>
      </w:r>
      <w:proofErr w:type="spellStart"/>
      <w:r>
        <w:rPr>
          <w:rFonts w:ascii="Arial" w:eastAsia="Arial" w:hAnsi="Arial" w:cs="Arial"/>
          <w:color w:val="111111"/>
        </w:rPr>
        <w:t>Vue</w:t>
      </w:r>
      <w:proofErr w:type="spellEnd"/>
      <w:r>
        <w:rPr>
          <w:rFonts w:ascii="Arial" w:eastAsia="Arial" w:hAnsi="Arial" w:cs="Arial"/>
          <w:color w:val="111111"/>
        </w:rPr>
        <w:t>-based UI development by creating reusable components and predictable client-side data flows, keeping interfaces responsive while coordinating closely with backend contract changes.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by identifying slow endpoints and inefficient queries, then implementing pragmatic fixes that delivered measurable latency improvements without introducing risky architectural rewrites.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deployment readiness by documenting release steps, tightening configuration discipline, and helping establish repeatable checks so production changes were less stressful and more reliable.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debugging by reproducing issues from logs and user reports, applying targeted fixes, and communicating root causes clearly so stakeholders understood impact and prevention steps.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across roles to refine requirements into implementable tasks, keeping work moving even when inputs were ambiguous, and ensuring delivered behavior matched real-world user expectations.</w:t>
      </w:r>
    </w:p>
    <w:p w:rsidR="008E2186" w:rsidRDefault="00851323">
      <w:pPr>
        <w:pBdr>
          <w:bottom w:val="dashed" w:sz="4" w:space="0" w:color="CFD2CD"/>
        </w:pBdr>
        <w:spacing w:after="120"/>
      </w:pPr>
      <w:r>
        <w:t xml:space="preserve"> </w:t>
      </w:r>
    </w:p>
    <w:p w:rsidR="008E2186" w:rsidRDefault="0085132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8E2186" w:rsidRDefault="00851323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8E2186" w:rsidRDefault="00851323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and maintenance by implementing changes carefully, validating behavior against real user workflows, and ensuring everyday operations stayed stable as the product evolved.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Diagnosed defects by reproducing issues reliably, narrowing root causes with logs and controlled tests, and communicating findings clearly so fixes were safe, targeted, and easy to review.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backend functionality and small API improvements with consistent input validation and error handling, reducing brittle edge cases that previously caused confusing user-facing failures.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front-end enhancements by improving UI behavior and forms, focusing on usability and predictable state changes so common user paths required fewer support interventions.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release preparation by verifying environment-specific settings, checking critical flows before deploys, and documenting known risks so deployments were calmer and more repeatable.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senior engineers to learn clean coding habits, refactoring safely in small steps while keeping behavior intact, and building confidence around change control in shared codebases.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improve operational hygiene by adding clearer logging around fragile workflows, which made production troubleshooting faster and reduced the time needed to isolate a failing step.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non-engineering teammates to clarify requirements and edge cases early, reducing late-stage surprises and ensuring delivered features matched the intent of the request.</w:t>
      </w:r>
    </w:p>
    <w:p w:rsidR="008E2186" w:rsidRDefault="0085132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strong fundamentals around ownership and accountability by following issues through to resolution, verifying fixes in realistic scenarios, and capturing lessons learned for future prevention.</w:t>
      </w:r>
    </w:p>
    <w:p w:rsidR="008E2186" w:rsidRDefault="008E2186">
      <w:pPr>
        <w:spacing w:after="80"/>
      </w:pPr>
    </w:p>
    <w:p w:rsidR="008E2186" w:rsidRDefault="0085132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8E2186" w:rsidRDefault="00851323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8E2186" w:rsidRDefault="00851323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8E2186" w:rsidRDefault="00851323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8E2186" w:rsidRDefault="008E2186">
      <w:pPr>
        <w:spacing w:after="80"/>
      </w:pPr>
    </w:p>
    <w:sectPr w:rsidR="008E218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A83E38"/>
    <w:multiLevelType w:val="hybridMultilevel"/>
    <w:tmpl w:val="78164966"/>
    <w:lvl w:ilvl="0" w:tplc="50CE83D4">
      <w:start w:val="1"/>
      <w:numFmt w:val="bullet"/>
      <w:lvlText w:val="●"/>
      <w:lvlJc w:val="left"/>
      <w:pPr>
        <w:ind w:left="720" w:hanging="360"/>
      </w:pPr>
    </w:lvl>
    <w:lvl w:ilvl="1" w:tplc="C12680DA">
      <w:start w:val="1"/>
      <w:numFmt w:val="bullet"/>
      <w:lvlText w:val="○"/>
      <w:lvlJc w:val="left"/>
      <w:pPr>
        <w:ind w:left="1440" w:hanging="360"/>
      </w:pPr>
    </w:lvl>
    <w:lvl w:ilvl="2" w:tplc="AAC6E0F4">
      <w:start w:val="1"/>
      <w:numFmt w:val="bullet"/>
      <w:lvlText w:val="■"/>
      <w:lvlJc w:val="left"/>
      <w:pPr>
        <w:ind w:left="2160" w:hanging="360"/>
      </w:pPr>
    </w:lvl>
    <w:lvl w:ilvl="3" w:tplc="A3E4E392">
      <w:start w:val="1"/>
      <w:numFmt w:val="bullet"/>
      <w:lvlText w:val="●"/>
      <w:lvlJc w:val="left"/>
      <w:pPr>
        <w:ind w:left="2880" w:hanging="360"/>
      </w:pPr>
    </w:lvl>
    <w:lvl w:ilvl="4" w:tplc="F33CDAF0">
      <w:start w:val="1"/>
      <w:numFmt w:val="bullet"/>
      <w:lvlText w:val="○"/>
      <w:lvlJc w:val="left"/>
      <w:pPr>
        <w:ind w:left="3600" w:hanging="360"/>
      </w:pPr>
    </w:lvl>
    <w:lvl w:ilvl="5" w:tplc="E196E250">
      <w:start w:val="1"/>
      <w:numFmt w:val="bullet"/>
      <w:lvlText w:val="■"/>
      <w:lvlJc w:val="left"/>
      <w:pPr>
        <w:ind w:left="4320" w:hanging="360"/>
      </w:pPr>
    </w:lvl>
    <w:lvl w:ilvl="6" w:tplc="DA20AC54">
      <w:start w:val="1"/>
      <w:numFmt w:val="bullet"/>
      <w:lvlText w:val="●"/>
      <w:lvlJc w:val="left"/>
      <w:pPr>
        <w:ind w:left="5040" w:hanging="360"/>
      </w:pPr>
    </w:lvl>
    <w:lvl w:ilvl="7" w:tplc="836E771E">
      <w:start w:val="1"/>
      <w:numFmt w:val="bullet"/>
      <w:lvlText w:val="●"/>
      <w:lvlJc w:val="left"/>
      <w:pPr>
        <w:ind w:left="5760" w:hanging="360"/>
      </w:pPr>
    </w:lvl>
    <w:lvl w:ilvl="8" w:tplc="528090C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E2186"/>
    <w:rsid w:val="00271086"/>
    <w:rsid w:val="00851323"/>
    <w:rsid w:val="008E2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2000</Words>
  <Characters>11402</Characters>
  <Application>Microsoft Office Word</Application>
  <DocSecurity>0</DocSecurity>
  <Lines>95</Lines>
  <Paragraphs>26</Paragraphs>
  <ScaleCrop>false</ScaleCrop>
  <Company>P R C</Company>
  <LinksUpToDate>false</LinksUpToDate>
  <CharactersWithSpaces>13376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2026-02-06T15:47:00Z</dcterms:created>
  <dcterms:modified xsi:type="dcterms:W3CDTF">2026-02-13T18:36:00Z</dcterms:modified>
</cp:coreProperties>
</file>