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Go / gRPC Microservices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gRPC 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</w:t>
      </w:r>
      <w:r>
        <w:rPr>
          <w:rFonts w:ascii="Aptos" w:hAnsi="Aptos" w:eastAsia="Aptos" w:cs="Aptos"/>
          <w:b/>
          <w:color w:val="212529"/>
          <w:sz w:val="16"/>
        </w:rPr>
        <w:t>gRPC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Microservices,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</w:t>
      </w:r>
      <w:r>
        <w:rPr>
          <w:rFonts w:ascii="Aptos" w:hAnsi="Aptos" w:eastAsia="Aptos" w:cs="Aptos"/>
          <w:b/>
          <w:color w:val="212529"/>
          <w:sz w:val="16"/>
        </w:rPr>
        <w:t>gRPC</w:t>
      </w:r>
      <w:r>
        <w:rPr>
          <w:rFonts w:ascii="Aptos" w:hAnsi="Aptos" w:eastAsia="Aptos" w:cs="Aptos"/>
          <w:b w:val="0"/>
          <w:color w:val="212529"/>
          <w:sz w:val="16"/>
        </w:rPr>
        <w:t>, Microservices,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gRPC 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gRPC 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gRPC 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gRPC Microservices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</w:t>
      </w:r>
      <w:r>
        <w:rPr>
          <w:rFonts w:ascii="Aptos" w:hAnsi="Aptos" w:eastAsia="Aptos" w:cs="Aptos"/>
          <w:b/>
          <w:color w:val="212529"/>
          <w:sz w:val="16"/>
        </w:rPr>
        <w:t>gRPC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Microservices,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</w:t>
      </w:r>
      <w:r>
        <w:rPr>
          <w:rFonts w:ascii="Aptos" w:hAnsi="Aptos" w:eastAsia="Aptos" w:cs="Aptos"/>
          <w:b/>
          <w:color w:val="212529"/>
          <w:sz w:val="16"/>
        </w:rPr>
        <w:t>gRPC</w:t>
      </w:r>
      <w:r>
        <w:rPr>
          <w:rFonts w:ascii="Aptos" w:hAnsi="Aptos" w:eastAsia="Aptos" w:cs="Aptos"/>
          <w:b w:val="0"/>
          <w:color w:val="212529"/>
          <w:sz w:val="16"/>
        </w:rPr>
        <w:t>, Microservices,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