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Rust / Backend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Rust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Rust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1.60+,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engineers, improving production support, and translating complex requirements into secure, maintainable software.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Engineering: </w:t>
      </w:r>
      <w:r>
        <w:rPr>
          <w:rFonts w:ascii="Aptos" w:hAnsi="Aptos" w:eastAsia="Aptos" w:cs="Aptos"/>
          <w:b/>
          <w:color w:val="212529"/>
          <w:sz w:val="16"/>
        </w:rPr>
        <w:t>Rust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1.60+,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service orchestration, asynchronous processing, batch jobs, data access layers, caching, and high-volume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Messaging &amp; Integration: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RabbitMQ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SQS,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Service Bus, webhooks, idempotency keys, retry policies, circuit breakers, third-party integrations, and audit-safe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architectural decision records, code reviews, mentoring, estimation, production support,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legacy modernization, and stakeholder communication.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Rust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Rust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Rust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Rust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Backend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Rust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1.60+,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Rust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1.60+,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