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AI Agent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AI Agent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AI agents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</w:t>
      </w:r>
      <w:r>
        <w:rPr>
          <w:rFonts w:ascii="Aptos" w:hAnsi="Aptos" w:eastAsia="Aptos" w:cs="Aptos"/>
          <w:b/>
          <w:color w:val="212529"/>
          <w:sz w:val="16"/>
        </w:rPr>
        <w:t>AI agents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AI Agent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AI Agent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analytics tools, search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data-driven features, secure service integration, and production-ready data services,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analytics APIs, search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data services,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AI agents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AI agents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