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bookmarkStart w:id="0" w:name="_GoBack"/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C24A50" w:rsidRDefault="00C24A50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2"/>
        </w:rPr>
      </w:pPr>
      <w:r w:rsidRPr="00C24A50">
        <w:rPr>
          <w:rFonts w:ascii="Arial" w:hAnsi="Arial" w:cs="Arial"/>
          <w:sz w:val="20"/>
        </w:rPr>
        <w:t xml:space="preserve">I’m a </w:t>
      </w:r>
      <w:r w:rsidRPr="00C24A50">
        <w:rPr>
          <w:rStyle w:val="Strong"/>
          <w:rFonts w:ascii="Arial" w:hAnsi="Arial" w:cs="Arial"/>
          <w:sz w:val="20"/>
        </w:rPr>
        <w:t>Senior Software Engineer</w:t>
      </w:r>
      <w:r w:rsidRPr="00C24A50">
        <w:rPr>
          <w:rFonts w:ascii="Arial" w:hAnsi="Arial" w:cs="Arial"/>
          <w:sz w:val="20"/>
        </w:rPr>
        <w:t xml:space="preserve"> who builds </w:t>
      </w:r>
      <w:proofErr w:type="spellStart"/>
      <w:r w:rsidRPr="00C24A50">
        <w:rPr>
          <w:rStyle w:val="Strong"/>
          <w:rFonts w:ascii="Arial" w:hAnsi="Arial" w:cs="Arial"/>
          <w:sz w:val="20"/>
        </w:rPr>
        <w:t>FinTech</w:t>
      </w:r>
      <w:proofErr w:type="spellEnd"/>
      <w:r w:rsidRPr="00C24A50">
        <w:rPr>
          <w:rFonts w:ascii="Arial" w:hAnsi="Arial" w:cs="Arial"/>
          <w:sz w:val="20"/>
        </w:rPr>
        <w:t xml:space="preserve"> and </w:t>
      </w:r>
      <w:r w:rsidRPr="00C24A50">
        <w:rPr>
          <w:rStyle w:val="Strong"/>
          <w:rFonts w:ascii="Arial" w:hAnsi="Arial" w:cs="Arial"/>
          <w:sz w:val="20"/>
        </w:rPr>
        <w:t>property-management</w:t>
      </w:r>
      <w:r w:rsidRPr="00C24A50">
        <w:rPr>
          <w:rFonts w:ascii="Arial" w:hAnsi="Arial" w:cs="Arial"/>
          <w:sz w:val="20"/>
        </w:rPr>
        <w:t xml:space="preserve"> products where payment reliability, fraud controls, and tenant–landlord </w:t>
      </w:r>
      <w:proofErr w:type="gramStart"/>
      <w:r w:rsidRPr="00C24A50">
        <w:rPr>
          <w:rFonts w:ascii="Arial" w:hAnsi="Arial" w:cs="Arial"/>
          <w:sz w:val="20"/>
        </w:rPr>
        <w:t>trust are</w:t>
      </w:r>
      <w:proofErr w:type="gramEnd"/>
      <w:r w:rsidRPr="00C24A50">
        <w:rPr>
          <w:rFonts w:ascii="Arial" w:hAnsi="Arial" w:cs="Arial"/>
          <w:sz w:val="20"/>
        </w:rPr>
        <w:t xml:space="preserve"> measured in real money, real time, and real compliance expectations.</w:t>
      </w:r>
      <w:r w:rsidRPr="00C24A50">
        <w:rPr>
          <w:rFonts w:ascii="Arial" w:hAnsi="Arial" w:cs="Arial"/>
          <w:sz w:val="20"/>
        </w:rPr>
        <w:t xml:space="preserve"> </w:t>
      </w:r>
      <w:r w:rsidRPr="00C24A50">
        <w:rPr>
          <w:rFonts w:ascii="Arial" w:hAnsi="Arial" w:cs="Arial"/>
          <w:sz w:val="20"/>
        </w:rPr>
        <w:t xml:space="preserve">Across client and server delivery, I’ve shipped </w:t>
      </w:r>
      <w:r w:rsidRPr="00C24A50">
        <w:rPr>
          <w:rStyle w:val="Strong"/>
          <w:rFonts w:ascii="Arial" w:hAnsi="Arial" w:cs="Arial"/>
          <w:sz w:val="20"/>
        </w:rPr>
        <w:t>Vue.js (2.x/3.x)</w:t>
      </w:r>
      <w:r w:rsidRPr="00C24A50">
        <w:rPr>
          <w:rFonts w:ascii="Arial" w:hAnsi="Arial" w:cs="Arial"/>
          <w:sz w:val="20"/>
        </w:rPr>
        <w:t xml:space="preserve"> and </w:t>
      </w:r>
      <w:r w:rsidRPr="00C24A50">
        <w:rPr>
          <w:rStyle w:val="Strong"/>
          <w:rFonts w:ascii="Arial" w:hAnsi="Arial" w:cs="Arial"/>
          <w:sz w:val="20"/>
        </w:rPr>
        <w:t>React (16–18)</w:t>
      </w:r>
      <w:r w:rsidRPr="00C24A50">
        <w:rPr>
          <w:rFonts w:ascii="Arial" w:hAnsi="Arial" w:cs="Arial"/>
          <w:sz w:val="20"/>
        </w:rPr>
        <w:t xml:space="preserve"> experiences backed by </w:t>
      </w:r>
      <w:r w:rsidRPr="00C24A50">
        <w:rPr>
          <w:rStyle w:val="Strong"/>
          <w:rFonts w:ascii="Arial" w:hAnsi="Arial" w:cs="Arial"/>
          <w:sz w:val="20"/>
        </w:rPr>
        <w:t>Node.js (12–18)</w:t>
      </w:r>
      <w:r w:rsidRPr="00C24A50">
        <w:rPr>
          <w:rFonts w:ascii="Arial" w:hAnsi="Arial" w:cs="Arial"/>
          <w:sz w:val="20"/>
        </w:rPr>
        <w:t xml:space="preserve"> and </w:t>
      </w:r>
      <w:r w:rsidRPr="00C24A50">
        <w:rPr>
          <w:rStyle w:val="Strong"/>
          <w:rFonts w:ascii="Arial" w:hAnsi="Arial" w:cs="Arial"/>
          <w:sz w:val="20"/>
        </w:rPr>
        <w:t>Python (3.8–3.11)</w:t>
      </w:r>
      <w:r w:rsidRPr="00C24A50">
        <w:rPr>
          <w:rFonts w:ascii="Arial" w:hAnsi="Arial" w:cs="Arial"/>
          <w:sz w:val="20"/>
        </w:rPr>
        <w:t xml:space="preserve"> services, keeping UX fast while enforcing strict </w:t>
      </w:r>
      <w:proofErr w:type="spellStart"/>
      <w:r w:rsidRPr="00C24A50">
        <w:rPr>
          <w:rStyle w:val="Strong"/>
          <w:rFonts w:ascii="Arial" w:hAnsi="Arial" w:cs="Arial"/>
          <w:sz w:val="20"/>
        </w:rPr>
        <w:t>auth</w:t>
      </w:r>
      <w:proofErr w:type="spellEnd"/>
      <w:r w:rsidRPr="00C24A50">
        <w:rPr>
          <w:rFonts w:ascii="Arial" w:hAnsi="Arial" w:cs="Arial"/>
          <w:sz w:val="20"/>
        </w:rPr>
        <w:t xml:space="preserve">, </w:t>
      </w:r>
      <w:r w:rsidRPr="00C24A50">
        <w:rPr>
          <w:rStyle w:val="Strong"/>
          <w:rFonts w:ascii="Arial" w:hAnsi="Arial" w:cs="Arial"/>
          <w:sz w:val="20"/>
        </w:rPr>
        <w:t>rate limits</w:t>
      </w:r>
      <w:r w:rsidRPr="00C24A50">
        <w:rPr>
          <w:rFonts w:ascii="Arial" w:hAnsi="Arial" w:cs="Arial"/>
          <w:sz w:val="20"/>
        </w:rPr>
        <w:t xml:space="preserve">, and auditable </w:t>
      </w:r>
      <w:proofErr w:type="spellStart"/>
      <w:r w:rsidRPr="00C24A50">
        <w:rPr>
          <w:rFonts w:ascii="Arial" w:hAnsi="Arial" w:cs="Arial"/>
          <w:sz w:val="20"/>
        </w:rPr>
        <w:t>flows.I’ve</w:t>
      </w:r>
      <w:proofErr w:type="spellEnd"/>
      <w:r w:rsidRPr="00C24A50">
        <w:rPr>
          <w:rFonts w:ascii="Arial" w:hAnsi="Arial" w:cs="Arial"/>
          <w:sz w:val="20"/>
        </w:rPr>
        <w:t xml:space="preserve"> operated </w:t>
      </w:r>
      <w:proofErr w:type="spellStart"/>
      <w:r w:rsidRPr="00C24A50">
        <w:rPr>
          <w:rStyle w:val="Strong"/>
          <w:rFonts w:ascii="Arial" w:hAnsi="Arial" w:cs="Arial"/>
          <w:sz w:val="20"/>
        </w:rPr>
        <w:t>PostgreSQL</w:t>
      </w:r>
      <w:proofErr w:type="spellEnd"/>
      <w:r w:rsidRPr="00C24A50">
        <w:rPr>
          <w:rStyle w:val="Strong"/>
          <w:rFonts w:ascii="Arial" w:hAnsi="Arial" w:cs="Arial"/>
          <w:sz w:val="20"/>
        </w:rPr>
        <w:t xml:space="preserve"> (12–15)</w:t>
      </w:r>
      <w:r w:rsidRPr="00C24A50">
        <w:rPr>
          <w:rFonts w:ascii="Arial" w:hAnsi="Arial" w:cs="Arial"/>
          <w:sz w:val="20"/>
        </w:rPr>
        <w:t xml:space="preserve"> and </w:t>
      </w:r>
      <w:r w:rsidRPr="00C24A50">
        <w:rPr>
          <w:rStyle w:val="Strong"/>
          <w:rFonts w:ascii="Arial" w:hAnsi="Arial" w:cs="Arial"/>
          <w:sz w:val="20"/>
        </w:rPr>
        <w:t>MySQL (5.7/8.0)</w:t>
      </w:r>
      <w:r w:rsidRPr="00C24A50">
        <w:rPr>
          <w:rFonts w:ascii="Arial" w:hAnsi="Arial" w:cs="Arial"/>
          <w:sz w:val="20"/>
        </w:rPr>
        <w:t xml:space="preserve"> for ledger-like data, plus </w:t>
      </w:r>
      <w:proofErr w:type="spellStart"/>
      <w:r w:rsidRPr="00C24A50">
        <w:rPr>
          <w:rStyle w:val="Strong"/>
          <w:rFonts w:ascii="Arial" w:hAnsi="Arial" w:cs="Arial"/>
          <w:sz w:val="20"/>
        </w:rPr>
        <w:t>MongoDB</w:t>
      </w:r>
      <w:proofErr w:type="spellEnd"/>
      <w:r w:rsidRPr="00C24A50">
        <w:rPr>
          <w:rStyle w:val="Strong"/>
          <w:rFonts w:ascii="Arial" w:hAnsi="Arial" w:cs="Arial"/>
          <w:sz w:val="20"/>
        </w:rPr>
        <w:t xml:space="preserve"> (4–6)</w:t>
      </w:r>
      <w:r w:rsidRPr="00C24A50">
        <w:rPr>
          <w:rFonts w:ascii="Arial" w:hAnsi="Arial" w:cs="Arial"/>
          <w:sz w:val="20"/>
        </w:rPr>
        <w:t xml:space="preserve"> and </w:t>
      </w:r>
      <w:proofErr w:type="spellStart"/>
      <w:r w:rsidRPr="00C24A50">
        <w:rPr>
          <w:rStyle w:val="Strong"/>
          <w:rFonts w:ascii="Arial" w:hAnsi="Arial" w:cs="Arial"/>
          <w:sz w:val="20"/>
        </w:rPr>
        <w:t>Elasticsearch</w:t>
      </w:r>
      <w:proofErr w:type="spellEnd"/>
      <w:r w:rsidRPr="00C24A50">
        <w:rPr>
          <w:rStyle w:val="Strong"/>
          <w:rFonts w:ascii="Arial" w:hAnsi="Arial" w:cs="Arial"/>
          <w:sz w:val="20"/>
        </w:rPr>
        <w:t xml:space="preserve"> (7.x)</w:t>
      </w:r>
      <w:r w:rsidRPr="00C24A50">
        <w:rPr>
          <w:rFonts w:ascii="Arial" w:hAnsi="Arial" w:cs="Arial"/>
          <w:sz w:val="20"/>
        </w:rPr>
        <w:t xml:space="preserve"> for flexible documents and search, while preventing inconsistency through migrations, constraints, and idempotent </w:t>
      </w:r>
      <w:proofErr w:type="spellStart"/>
      <w:r w:rsidRPr="00C24A50">
        <w:rPr>
          <w:rFonts w:ascii="Arial" w:hAnsi="Arial" w:cs="Arial"/>
          <w:sz w:val="20"/>
        </w:rPr>
        <w:t>writes.In</w:t>
      </w:r>
      <w:proofErr w:type="spellEnd"/>
      <w:r w:rsidRPr="00C24A50">
        <w:rPr>
          <w:rFonts w:ascii="Arial" w:hAnsi="Arial" w:cs="Arial"/>
          <w:sz w:val="20"/>
        </w:rPr>
        <w:t xml:space="preserve"> AWS-first environments, I’ve owned delivery using </w:t>
      </w:r>
      <w:r w:rsidRPr="00C24A50">
        <w:rPr>
          <w:rStyle w:val="Strong"/>
          <w:rFonts w:ascii="Arial" w:hAnsi="Arial" w:cs="Arial"/>
          <w:sz w:val="20"/>
        </w:rPr>
        <w:t>ECS/EKS</w:t>
      </w:r>
      <w:r w:rsidRPr="00C24A50">
        <w:rPr>
          <w:rFonts w:ascii="Arial" w:hAnsi="Arial" w:cs="Arial"/>
          <w:sz w:val="20"/>
        </w:rPr>
        <w:t xml:space="preserve">, </w:t>
      </w:r>
      <w:r w:rsidRPr="00C24A50">
        <w:rPr>
          <w:rStyle w:val="Strong"/>
          <w:rFonts w:ascii="Arial" w:hAnsi="Arial" w:cs="Arial"/>
          <w:sz w:val="20"/>
        </w:rPr>
        <w:t>Lambda</w:t>
      </w:r>
      <w:r w:rsidRPr="00C24A50">
        <w:rPr>
          <w:rFonts w:ascii="Arial" w:hAnsi="Arial" w:cs="Arial"/>
          <w:sz w:val="20"/>
        </w:rPr>
        <w:t xml:space="preserve">, </w:t>
      </w:r>
      <w:r w:rsidRPr="00C24A50">
        <w:rPr>
          <w:rStyle w:val="Strong"/>
          <w:rFonts w:ascii="Arial" w:hAnsi="Arial" w:cs="Arial"/>
          <w:sz w:val="20"/>
        </w:rPr>
        <w:t>API Gateway</w:t>
      </w:r>
      <w:r w:rsidRPr="00C24A50">
        <w:rPr>
          <w:rFonts w:ascii="Arial" w:hAnsi="Arial" w:cs="Arial"/>
          <w:sz w:val="20"/>
        </w:rPr>
        <w:t xml:space="preserve">, </w:t>
      </w:r>
      <w:r w:rsidRPr="00C24A50">
        <w:rPr>
          <w:rStyle w:val="Strong"/>
          <w:rFonts w:ascii="Arial" w:hAnsi="Arial" w:cs="Arial"/>
          <w:sz w:val="20"/>
        </w:rPr>
        <w:t>S3</w:t>
      </w:r>
      <w:r w:rsidRPr="00C24A50">
        <w:rPr>
          <w:rFonts w:ascii="Arial" w:hAnsi="Arial" w:cs="Arial"/>
          <w:sz w:val="20"/>
        </w:rPr>
        <w:t xml:space="preserve">, </w:t>
      </w:r>
      <w:r w:rsidRPr="00C24A50">
        <w:rPr>
          <w:rStyle w:val="Strong"/>
          <w:rFonts w:ascii="Arial" w:hAnsi="Arial" w:cs="Arial"/>
          <w:sz w:val="20"/>
        </w:rPr>
        <w:t>RDS</w:t>
      </w:r>
      <w:r w:rsidRPr="00C24A50">
        <w:rPr>
          <w:rFonts w:ascii="Arial" w:hAnsi="Arial" w:cs="Arial"/>
          <w:sz w:val="20"/>
        </w:rPr>
        <w:t xml:space="preserve">, </w:t>
      </w:r>
      <w:proofErr w:type="spellStart"/>
      <w:r w:rsidRPr="00C24A50">
        <w:rPr>
          <w:rStyle w:val="Strong"/>
          <w:rFonts w:ascii="Arial" w:hAnsi="Arial" w:cs="Arial"/>
          <w:sz w:val="20"/>
        </w:rPr>
        <w:t>DynamoDB</w:t>
      </w:r>
      <w:proofErr w:type="spellEnd"/>
      <w:r w:rsidRPr="00C24A50">
        <w:rPr>
          <w:rFonts w:ascii="Arial" w:hAnsi="Arial" w:cs="Arial"/>
          <w:sz w:val="20"/>
        </w:rPr>
        <w:t xml:space="preserve">, and </w:t>
      </w:r>
      <w:r w:rsidRPr="00C24A50">
        <w:rPr>
          <w:rStyle w:val="Strong"/>
          <w:rFonts w:ascii="Arial" w:hAnsi="Arial" w:cs="Arial"/>
          <w:sz w:val="20"/>
        </w:rPr>
        <w:t>SQS/SNS</w:t>
      </w:r>
      <w:r w:rsidRPr="00C24A50">
        <w:rPr>
          <w:rFonts w:ascii="Arial" w:hAnsi="Arial" w:cs="Arial"/>
          <w:sz w:val="20"/>
        </w:rPr>
        <w:t xml:space="preserve">, with CI pipelines that enforce test gates, safe rollbacks, and production readiness </w:t>
      </w:r>
      <w:proofErr w:type="spellStart"/>
      <w:r w:rsidRPr="00C24A50">
        <w:rPr>
          <w:rFonts w:ascii="Arial" w:hAnsi="Arial" w:cs="Arial"/>
          <w:sz w:val="20"/>
        </w:rPr>
        <w:t>checks.I’m</w:t>
      </w:r>
      <w:proofErr w:type="spellEnd"/>
      <w:r w:rsidRPr="00C24A50">
        <w:rPr>
          <w:rFonts w:ascii="Arial" w:hAnsi="Arial" w:cs="Arial"/>
          <w:sz w:val="20"/>
        </w:rPr>
        <w:t xml:space="preserve"> comfortable with </w:t>
      </w:r>
      <w:proofErr w:type="spellStart"/>
      <w:r w:rsidRPr="00C24A50">
        <w:rPr>
          <w:rStyle w:val="Strong"/>
          <w:rFonts w:ascii="Arial" w:hAnsi="Arial" w:cs="Arial"/>
          <w:sz w:val="20"/>
        </w:rPr>
        <w:t>microservices</w:t>
      </w:r>
      <w:proofErr w:type="spellEnd"/>
      <w:r w:rsidRPr="00C24A50">
        <w:rPr>
          <w:rFonts w:ascii="Arial" w:hAnsi="Arial" w:cs="Arial"/>
          <w:sz w:val="20"/>
        </w:rPr>
        <w:t xml:space="preserve"> and “event log” patterns that approximate </w:t>
      </w:r>
      <w:r w:rsidRPr="00C24A50">
        <w:rPr>
          <w:rStyle w:val="Strong"/>
          <w:rFonts w:ascii="Arial" w:hAnsi="Arial" w:cs="Arial"/>
          <w:sz w:val="20"/>
        </w:rPr>
        <w:t>event sourcing</w:t>
      </w:r>
      <w:r w:rsidRPr="00C24A50">
        <w:rPr>
          <w:rFonts w:ascii="Arial" w:hAnsi="Arial" w:cs="Arial"/>
          <w:sz w:val="20"/>
        </w:rPr>
        <w:t xml:space="preserve"> via </w:t>
      </w:r>
      <w:r w:rsidRPr="00C24A50">
        <w:rPr>
          <w:rStyle w:val="Strong"/>
          <w:rFonts w:ascii="Arial" w:hAnsi="Arial" w:cs="Arial"/>
          <w:sz w:val="20"/>
        </w:rPr>
        <w:t>Kafka</w:t>
      </w:r>
      <w:r w:rsidRPr="00C24A50">
        <w:rPr>
          <w:rFonts w:ascii="Arial" w:hAnsi="Arial" w:cs="Arial"/>
          <w:sz w:val="20"/>
        </w:rPr>
        <w:t xml:space="preserve"> topics and outbox delivery, enabling A/B experimentation, analytics integrity, and reliable downstream processing without breaking core payment flows.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C24A50" w:rsidRPr="00C24A50" w:rsidRDefault="00C24A50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C24A50">
        <w:rPr>
          <w:rStyle w:val="Strong"/>
          <w:rFonts w:ascii="Arial" w:hAnsi="Arial" w:cs="Arial"/>
          <w:sz w:val="18"/>
        </w:rPr>
        <w:t>Frontend:</w:t>
      </w:r>
      <w:r w:rsidRPr="00C24A50">
        <w:rPr>
          <w:rFonts w:ascii="Arial" w:hAnsi="Arial" w:cs="Arial"/>
          <w:sz w:val="18"/>
        </w:rPr>
        <w:t xml:space="preserve"> </w:t>
      </w:r>
      <w:r w:rsidRPr="00C24A50">
        <w:rPr>
          <w:rStyle w:val="Strong"/>
          <w:rFonts w:ascii="Arial" w:hAnsi="Arial" w:cs="Arial"/>
          <w:sz w:val="18"/>
        </w:rPr>
        <w:t>Vue.js 2/3</w:t>
      </w:r>
      <w:r w:rsidRPr="00C24A50">
        <w:rPr>
          <w:rFonts w:ascii="Arial" w:hAnsi="Arial" w:cs="Arial"/>
          <w:sz w:val="18"/>
        </w:rPr>
        <w:t xml:space="preserve">, </w:t>
      </w:r>
      <w:r w:rsidRPr="00C24A50">
        <w:rPr>
          <w:rStyle w:val="Strong"/>
          <w:rFonts w:ascii="Arial" w:hAnsi="Arial" w:cs="Arial"/>
          <w:sz w:val="18"/>
        </w:rPr>
        <w:t>React 16–18</w:t>
      </w:r>
      <w:r w:rsidRPr="00C24A50">
        <w:rPr>
          <w:rFonts w:ascii="Arial" w:hAnsi="Arial" w:cs="Arial"/>
          <w:sz w:val="18"/>
        </w:rPr>
        <w:t xml:space="preserve">, </w:t>
      </w:r>
      <w:proofErr w:type="spellStart"/>
      <w:r w:rsidRPr="00C24A50">
        <w:rPr>
          <w:rFonts w:ascii="Arial" w:hAnsi="Arial" w:cs="Arial"/>
          <w:sz w:val="18"/>
        </w:rPr>
        <w:t>TypeScript</w:t>
      </w:r>
      <w:proofErr w:type="spellEnd"/>
      <w:r w:rsidRPr="00C24A50">
        <w:rPr>
          <w:rFonts w:ascii="Arial" w:hAnsi="Arial" w:cs="Arial"/>
          <w:sz w:val="18"/>
        </w:rPr>
        <w:t>, component libraries, responsive UI, accessibility, performance profiling, and A/B test instrumentation with clean experiment flags.</w:t>
      </w:r>
    </w:p>
    <w:p w:rsidR="00C24A50" w:rsidRPr="00C24A50" w:rsidRDefault="00C24A50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C24A50">
        <w:rPr>
          <w:rStyle w:val="Strong"/>
          <w:rFonts w:ascii="Arial" w:hAnsi="Arial" w:cs="Arial"/>
          <w:sz w:val="18"/>
        </w:rPr>
        <w:t>Backend:</w:t>
      </w:r>
      <w:r w:rsidRPr="00C24A50">
        <w:rPr>
          <w:rFonts w:ascii="Arial" w:hAnsi="Arial" w:cs="Arial"/>
          <w:sz w:val="18"/>
        </w:rPr>
        <w:t xml:space="preserve"> </w:t>
      </w:r>
      <w:r w:rsidRPr="00C24A50">
        <w:rPr>
          <w:rStyle w:val="Strong"/>
          <w:rFonts w:ascii="Arial" w:hAnsi="Arial" w:cs="Arial"/>
          <w:sz w:val="18"/>
        </w:rPr>
        <w:t>Node.js 12–18</w:t>
      </w:r>
      <w:r w:rsidRPr="00C24A50">
        <w:rPr>
          <w:rFonts w:ascii="Arial" w:hAnsi="Arial" w:cs="Arial"/>
          <w:sz w:val="18"/>
        </w:rPr>
        <w:t xml:space="preserve">, </w:t>
      </w:r>
      <w:r w:rsidRPr="00C24A50">
        <w:rPr>
          <w:rStyle w:val="Strong"/>
          <w:rFonts w:ascii="Arial" w:hAnsi="Arial" w:cs="Arial"/>
          <w:sz w:val="18"/>
        </w:rPr>
        <w:t>Python 3.8–3.11</w:t>
      </w:r>
      <w:r w:rsidRPr="00C24A50">
        <w:rPr>
          <w:rFonts w:ascii="Arial" w:hAnsi="Arial" w:cs="Arial"/>
          <w:sz w:val="18"/>
        </w:rPr>
        <w:t xml:space="preserve">, REST APIs, </w:t>
      </w:r>
      <w:proofErr w:type="spellStart"/>
      <w:r w:rsidRPr="00C24A50">
        <w:rPr>
          <w:rFonts w:ascii="Arial" w:hAnsi="Arial" w:cs="Arial"/>
          <w:sz w:val="18"/>
        </w:rPr>
        <w:t>webhooks</w:t>
      </w:r>
      <w:proofErr w:type="spellEnd"/>
      <w:r w:rsidRPr="00C24A50">
        <w:rPr>
          <w:rFonts w:ascii="Arial" w:hAnsi="Arial" w:cs="Arial"/>
          <w:sz w:val="18"/>
        </w:rPr>
        <w:t xml:space="preserve">, background workers, </w:t>
      </w:r>
      <w:proofErr w:type="spellStart"/>
      <w:r w:rsidRPr="00C24A50">
        <w:rPr>
          <w:rFonts w:ascii="Arial" w:hAnsi="Arial" w:cs="Arial"/>
          <w:sz w:val="18"/>
        </w:rPr>
        <w:t>idempotency</w:t>
      </w:r>
      <w:proofErr w:type="spellEnd"/>
      <w:r w:rsidRPr="00C24A50">
        <w:rPr>
          <w:rFonts w:ascii="Arial" w:hAnsi="Arial" w:cs="Arial"/>
          <w:sz w:val="18"/>
        </w:rPr>
        <w:t xml:space="preserve"> keys, transactional consistency, and secure-by-default middleware patterns.</w:t>
      </w:r>
    </w:p>
    <w:p w:rsidR="00C24A50" w:rsidRPr="00C24A50" w:rsidRDefault="00C24A50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C24A50">
        <w:rPr>
          <w:rStyle w:val="Strong"/>
          <w:rFonts w:ascii="Arial" w:hAnsi="Arial" w:cs="Arial"/>
          <w:sz w:val="18"/>
        </w:rPr>
        <w:t>Data:</w:t>
      </w:r>
      <w:r w:rsidRPr="00C24A50">
        <w:rPr>
          <w:rFonts w:ascii="Arial" w:hAnsi="Arial" w:cs="Arial"/>
          <w:sz w:val="18"/>
        </w:rPr>
        <w:t xml:space="preserve"> </w:t>
      </w:r>
      <w:proofErr w:type="spellStart"/>
      <w:r w:rsidRPr="00C24A50">
        <w:rPr>
          <w:rStyle w:val="Strong"/>
          <w:rFonts w:ascii="Arial" w:hAnsi="Arial" w:cs="Arial"/>
          <w:sz w:val="18"/>
        </w:rPr>
        <w:t>PostgreSQL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12–15</w:t>
      </w:r>
      <w:r w:rsidRPr="00C24A50">
        <w:rPr>
          <w:rFonts w:ascii="Arial" w:hAnsi="Arial" w:cs="Arial"/>
          <w:sz w:val="18"/>
        </w:rPr>
        <w:t xml:space="preserve">, </w:t>
      </w:r>
      <w:r w:rsidRPr="00C24A50">
        <w:rPr>
          <w:rStyle w:val="Strong"/>
          <w:rFonts w:ascii="Arial" w:hAnsi="Arial" w:cs="Arial"/>
          <w:sz w:val="18"/>
        </w:rPr>
        <w:t>MySQL 5.7/8.0</w:t>
      </w:r>
      <w:r w:rsidRPr="00C24A50">
        <w:rPr>
          <w:rFonts w:ascii="Arial" w:hAnsi="Arial" w:cs="Arial"/>
          <w:sz w:val="18"/>
        </w:rPr>
        <w:t xml:space="preserve">, </w:t>
      </w:r>
      <w:proofErr w:type="spellStart"/>
      <w:r w:rsidRPr="00C24A50">
        <w:rPr>
          <w:rStyle w:val="Strong"/>
          <w:rFonts w:ascii="Arial" w:hAnsi="Arial" w:cs="Arial"/>
          <w:sz w:val="18"/>
        </w:rPr>
        <w:t>MongoDB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4–6</w:t>
      </w:r>
      <w:r w:rsidRPr="00C24A50">
        <w:rPr>
          <w:rFonts w:ascii="Arial" w:hAnsi="Arial" w:cs="Arial"/>
          <w:sz w:val="18"/>
        </w:rPr>
        <w:t xml:space="preserve">, </w:t>
      </w:r>
      <w:proofErr w:type="spellStart"/>
      <w:r w:rsidRPr="00C24A50">
        <w:rPr>
          <w:rStyle w:val="Strong"/>
          <w:rFonts w:ascii="Arial" w:hAnsi="Arial" w:cs="Arial"/>
          <w:sz w:val="18"/>
        </w:rPr>
        <w:t>Elasticsearch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7.x</w:t>
      </w:r>
      <w:r w:rsidRPr="00C24A50">
        <w:rPr>
          <w:rFonts w:ascii="Arial" w:hAnsi="Arial" w:cs="Arial"/>
          <w:sz w:val="18"/>
        </w:rPr>
        <w:t xml:space="preserve">, schema design, indexing, query tuning, and data quality rules for financial </w:t>
      </w:r>
      <w:proofErr w:type="spellStart"/>
      <w:r w:rsidRPr="00C24A50">
        <w:rPr>
          <w:rFonts w:ascii="Arial" w:hAnsi="Arial" w:cs="Arial"/>
          <w:sz w:val="18"/>
        </w:rPr>
        <w:t>correctness.</w:t>
      </w:r>
      <w:proofErr w:type="spellEnd"/>
    </w:p>
    <w:p w:rsidR="00C24A50" w:rsidRPr="00C24A50" w:rsidRDefault="00C24A50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C24A50">
        <w:rPr>
          <w:rStyle w:val="Strong"/>
          <w:rFonts w:ascii="Arial" w:hAnsi="Arial" w:cs="Arial"/>
          <w:sz w:val="18"/>
        </w:rPr>
        <w:t>Cloud/</w:t>
      </w:r>
      <w:proofErr w:type="spellStart"/>
      <w:r w:rsidRPr="00C24A50">
        <w:rPr>
          <w:rStyle w:val="Strong"/>
          <w:rFonts w:ascii="Arial" w:hAnsi="Arial" w:cs="Arial"/>
          <w:sz w:val="18"/>
        </w:rPr>
        <w:t>DevOps</w:t>
      </w:r>
      <w:proofErr w:type="spellEnd"/>
      <w:r w:rsidRPr="00C24A50">
        <w:rPr>
          <w:rStyle w:val="Strong"/>
          <w:rFonts w:ascii="Arial" w:hAnsi="Arial" w:cs="Arial"/>
          <w:sz w:val="18"/>
        </w:rPr>
        <w:t>:</w:t>
      </w:r>
      <w:r w:rsidRPr="00C24A50">
        <w:rPr>
          <w:rFonts w:ascii="Arial" w:hAnsi="Arial" w:cs="Arial"/>
          <w:sz w:val="18"/>
        </w:rPr>
        <w:t xml:space="preserve"> </w:t>
      </w:r>
      <w:r w:rsidRPr="00C24A50">
        <w:rPr>
          <w:rStyle w:val="Strong"/>
          <w:rFonts w:ascii="Arial" w:hAnsi="Arial" w:cs="Arial"/>
          <w:sz w:val="18"/>
        </w:rPr>
        <w:t>AWS</w:t>
      </w:r>
      <w:r w:rsidRPr="00C24A50">
        <w:rPr>
          <w:rFonts w:ascii="Arial" w:hAnsi="Arial" w:cs="Arial"/>
          <w:sz w:val="18"/>
        </w:rPr>
        <w:t xml:space="preserve"> (EKS/ECS/Lambda/API Gateway/S3/RDS/</w:t>
      </w:r>
      <w:proofErr w:type="spellStart"/>
      <w:r w:rsidRPr="00C24A50">
        <w:rPr>
          <w:rFonts w:ascii="Arial" w:hAnsi="Arial" w:cs="Arial"/>
          <w:sz w:val="18"/>
        </w:rPr>
        <w:t>DynamoDB</w:t>
      </w:r>
      <w:proofErr w:type="spellEnd"/>
      <w:r w:rsidRPr="00C24A50">
        <w:rPr>
          <w:rFonts w:ascii="Arial" w:hAnsi="Arial" w:cs="Arial"/>
          <w:sz w:val="18"/>
        </w:rPr>
        <w:t xml:space="preserve">/SQS/SNS), </w:t>
      </w:r>
      <w:proofErr w:type="spellStart"/>
      <w:r w:rsidRPr="00C24A50">
        <w:rPr>
          <w:rFonts w:ascii="Arial" w:hAnsi="Arial" w:cs="Arial"/>
          <w:sz w:val="18"/>
        </w:rPr>
        <w:t>Docker</w:t>
      </w:r>
      <w:proofErr w:type="spellEnd"/>
      <w:r w:rsidRPr="00C24A50">
        <w:rPr>
          <w:rFonts w:ascii="Arial" w:hAnsi="Arial" w:cs="Arial"/>
          <w:sz w:val="18"/>
        </w:rPr>
        <w:t xml:space="preserve">, </w:t>
      </w:r>
      <w:proofErr w:type="spellStart"/>
      <w:r w:rsidRPr="00C24A50">
        <w:rPr>
          <w:rFonts w:ascii="Arial" w:hAnsi="Arial" w:cs="Arial"/>
          <w:sz w:val="18"/>
        </w:rPr>
        <w:t>Kubernetes</w:t>
      </w:r>
      <w:proofErr w:type="spellEnd"/>
      <w:r w:rsidRPr="00C24A50">
        <w:rPr>
          <w:rFonts w:ascii="Arial" w:hAnsi="Arial" w:cs="Arial"/>
          <w:sz w:val="18"/>
        </w:rPr>
        <w:t xml:space="preserve">, </w:t>
      </w:r>
      <w:proofErr w:type="spellStart"/>
      <w:r w:rsidRPr="00C24A50">
        <w:rPr>
          <w:rFonts w:ascii="Arial" w:hAnsi="Arial" w:cs="Arial"/>
          <w:sz w:val="18"/>
        </w:rPr>
        <w:t>Terraform</w:t>
      </w:r>
      <w:proofErr w:type="spellEnd"/>
      <w:r w:rsidRPr="00C24A50">
        <w:rPr>
          <w:rFonts w:ascii="Arial" w:hAnsi="Arial" w:cs="Arial"/>
          <w:sz w:val="18"/>
        </w:rPr>
        <w:t xml:space="preserve">-style </w:t>
      </w:r>
      <w:proofErr w:type="spellStart"/>
      <w:r w:rsidRPr="00C24A50">
        <w:rPr>
          <w:rFonts w:ascii="Arial" w:hAnsi="Arial" w:cs="Arial"/>
          <w:sz w:val="18"/>
        </w:rPr>
        <w:t>IaC</w:t>
      </w:r>
      <w:proofErr w:type="spellEnd"/>
      <w:r w:rsidRPr="00C24A50">
        <w:rPr>
          <w:rFonts w:ascii="Arial" w:hAnsi="Arial" w:cs="Arial"/>
          <w:sz w:val="18"/>
        </w:rPr>
        <w:t xml:space="preserve"> patterns, and CI/CD with artifact promotion and release governance.</w:t>
      </w:r>
    </w:p>
    <w:p w:rsidR="00595B38" w:rsidRPr="00C24A50" w:rsidRDefault="00C24A50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C24A50">
        <w:rPr>
          <w:rStyle w:val="Strong"/>
          <w:rFonts w:ascii="Arial" w:hAnsi="Arial" w:cs="Arial"/>
          <w:sz w:val="18"/>
        </w:rPr>
        <w:t>Security &amp; Quality:</w:t>
      </w:r>
      <w:r w:rsidRPr="00C24A50">
        <w:rPr>
          <w:rFonts w:ascii="Arial" w:hAnsi="Arial" w:cs="Arial"/>
          <w:sz w:val="18"/>
        </w:rPr>
        <w:t xml:space="preserve"> </w:t>
      </w:r>
      <w:r w:rsidRPr="00C24A50">
        <w:rPr>
          <w:rStyle w:val="Strong"/>
          <w:rFonts w:ascii="Arial" w:hAnsi="Arial" w:cs="Arial"/>
          <w:sz w:val="18"/>
        </w:rPr>
        <w:t>OAuth2/OIDC</w:t>
      </w:r>
      <w:r w:rsidRPr="00C24A50">
        <w:rPr>
          <w:rFonts w:ascii="Arial" w:hAnsi="Arial" w:cs="Arial"/>
          <w:sz w:val="18"/>
        </w:rPr>
        <w:t xml:space="preserve">, </w:t>
      </w:r>
      <w:r w:rsidRPr="00C24A50">
        <w:rPr>
          <w:rStyle w:val="Strong"/>
          <w:rFonts w:ascii="Arial" w:hAnsi="Arial" w:cs="Arial"/>
          <w:sz w:val="18"/>
        </w:rPr>
        <w:t>JWT</w:t>
      </w:r>
      <w:r w:rsidRPr="00C24A50">
        <w:rPr>
          <w:rFonts w:ascii="Arial" w:hAnsi="Arial" w:cs="Arial"/>
          <w:sz w:val="18"/>
        </w:rPr>
        <w:t>, RBAC, audit logging, secret management, unit + integration testing, and contract-style testing to prevent breaking changes across services.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led delivery of renter checkout and landlord payout workflows in </w:t>
      </w:r>
      <w:r w:rsidRPr="00C24A50">
        <w:rPr>
          <w:rStyle w:val="Strong"/>
          <w:rFonts w:ascii="Arial" w:hAnsi="Arial" w:cs="Arial"/>
          <w:sz w:val="18"/>
        </w:rPr>
        <w:t>Vue.js 3</w:t>
      </w:r>
      <w:r w:rsidRPr="00C24A50">
        <w:rPr>
          <w:rFonts w:ascii="Arial" w:hAnsi="Arial" w:cs="Arial"/>
          <w:sz w:val="18"/>
        </w:rPr>
        <w:t xml:space="preserve"> with </w:t>
      </w:r>
      <w:proofErr w:type="spellStart"/>
      <w:r w:rsidRPr="00C24A50">
        <w:rPr>
          <w:rStyle w:val="Strong"/>
          <w:rFonts w:ascii="Arial" w:hAnsi="Arial" w:cs="Arial"/>
          <w:sz w:val="18"/>
        </w:rPr>
        <w:t>TypeScript</w:t>
      </w:r>
      <w:proofErr w:type="spellEnd"/>
      <w:r w:rsidRPr="00C24A50">
        <w:rPr>
          <w:rFonts w:ascii="Arial" w:hAnsi="Arial" w:cs="Arial"/>
          <w:sz w:val="18"/>
        </w:rPr>
        <w:t xml:space="preserve"> and a modular design system, ensuring pixel-stable UX while meeting strict payment SLA expectations.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implemented API orchestration in </w:t>
      </w:r>
      <w:r w:rsidRPr="00C24A50">
        <w:rPr>
          <w:rStyle w:val="Strong"/>
          <w:rFonts w:ascii="Arial" w:hAnsi="Arial" w:cs="Arial"/>
          <w:sz w:val="18"/>
        </w:rPr>
        <w:t>Node.js 18</w:t>
      </w:r>
      <w:r w:rsidRPr="00C24A50">
        <w:rPr>
          <w:rFonts w:ascii="Arial" w:hAnsi="Arial" w:cs="Arial"/>
          <w:sz w:val="18"/>
        </w:rPr>
        <w:t xml:space="preserve"> with layered handlers and typed DTO validation, keeping external integrations stable while enabling rapid iteration on internal business-metric experiments.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designed </w:t>
      </w:r>
      <w:proofErr w:type="spellStart"/>
      <w:r w:rsidRPr="00C24A50">
        <w:rPr>
          <w:rStyle w:val="Strong"/>
          <w:rFonts w:ascii="Arial" w:hAnsi="Arial" w:cs="Arial"/>
          <w:sz w:val="18"/>
        </w:rPr>
        <w:t>PostgreSQL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15</w:t>
      </w:r>
      <w:r w:rsidRPr="00C24A50">
        <w:rPr>
          <w:rFonts w:ascii="Arial" w:hAnsi="Arial" w:cs="Arial"/>
          <w:sz w:val="18"/>
        </w:rPr>
        <w:t xml:space="preserve"> tables for ledger-like transaction states with immutable event rows and reconciliation views, which reduced dispute time by making every state transition explainable and </w:t>
      </w:r>
      <w:proofErr w:type="spellStart"/>
      <w:r w:rsidRPr="00C24A50">
        <w:rPr>
          <w:rFonts w:ascii="Arial" w:hAnsi="Arial" w:cs="Arial"/>
          <w:sz w:val="18"/>
        </w:rPr>
        <w:t>queryable</w:t>
      </w:r>
      <w:proofErr w:type="spellEnd"/>
      <w:r w:rsidRPr="00C24A50">
        <w:rPr>
          <w:rFonts w:ascii="Arial" w:hAnsi="Arial" w:cs="Arial"/>
          <w:sz w:val="18"/>
        </w:rPr>
        <w:t>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fixed a critical production bug where concurrent retries created duplicate “payment intent” records, solving it with </w:t>
      </w:r>
      <w:proofErr w:type="spellStart"/>
      <w:r w:rsidRPr="00C24A50">
        <w:rPr>
          <w:rStyle w:val="Strong"/>
          <w:rFonts w:ascii="Arial" w:hAnsi="Arial" w:cs="Arial"/>
          <w:sz w:val="18"/>
        </w:rPr>
        <w:t>idempotency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keys</w:t>
      </w:r>
      <w:r w:rsidRPr="00C24A50">
        <w:rPr>
          <w:rFonts w:ascii="Arial" w:hAnsi="Arial" w:cs="Arial"/>
          <w:sz w:val="18"/>
        </w:rPr>
        <w:t xml:space="preserve">, unique constraints, and retry-safe handlers across </w:t>
      </w:r>
      <w:proofErr w:type="spellStart"/>
      <w:r w:rsidRPr="00C24A50">
        <w:rPr>
          <w:rFonts w:ascii="Arial" w:hAnsi="Arial" w:cs="Arial"/>
          <w:sz w:val="18"/>
        </w:rPr>
        <w:t>webhooks</w:t>
      </w:r>
      <w:proofErr w:type="spellEnd"/>
      <w:r w:rsidRPr="00C24A50">
        <w:rPr>
          <w:rFonts w:ascii="Arial" w:hAnsi="Arial" w:cs="Arial"/>
          <w:sz w:val="18"/>
        </w:rPr>
        <w:t xml:space="preserve"> and UI flows.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introduced A/B testing hooks that cleanly separated experiment assignment from feature delivery, so analysts could trust conversions without engineers leaking variant logic into core domain code.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upgraded a legacy </w:t>
      </w:r>
      <w:proofErr w:type="spellStart"/>
      <w:r w:rsidRPr="00C24A50">
        <w:rPr>
          <w:rFonts w:ascii="Arial" w:hAnsi="Arial" w:cs="Arial"/>
          <w:sz w:val="18"/>
        </w:rPr>
        <w:t>Vue</w:t>
      </w:r>
      <w:proofErr w:type="spellEnd"/>
      <w:r w:rsidRPr="00C24A50">
        <w:rPr>
          <w:rFonts w:ascii="Arial" w:hAnsi="Arial" w:cs="Arial"/>
          <w:sz w:val="18"/>
        </w:rPr>
        <w:t xml:space="preserve"> 2 area to </w:t>
      </w:r>
      <w:r w:rsidRPr="00C24A50">
        <w:rPr>
          <w:rStyle w:val="Strong"/>
          <w:rFonts w:ascii="Arial" w:hAnsi="Arial" w:cs="Arial"/>
          <w:sz w:val="18"/>
        </w:rPr>
        <w:t>Vue.js 3</w:t>
      </w:r>
      <w:r w:rsidRPr="00C24A50">
        <w:rPr>
          <w:rFonts w:ascii="Arial" w:hAnsi="Arial" w:cs="Arial"/>
          <w:sz w:val="18"/>
        </w:rPr>
        <w:t xml:space="preserve"> using an incremental migration strategy, converting risky screens first and keeping shared components compatible through adapters and strict typing boundaries.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improved mobile performance by cutting hydration and bundle overhead, using route-level code splitting, </w:t>
      </w:r>
      <w:proofErr w:type="spellStart"/>
      <w:r w:rsidRPr="00C24A50">
        <w:rPr>
          <w:rFonts w:ascii="Arial" w:hAnsi="Arial" w:cs="Arial"/>
          <w:sz w:val="18"/>
        </w:rPr>
        <w:t>memoized</w:t>
      </w:r>
      <w:proofErr w:type="spellEnd"/>
      <w:r w:rsidRPr="00C24A50">
        <w:rPr>
          <w:rFonts w:ascii="Arial" w:hAnsi="Arial" w:cs="Arial"/>
          <w:sz w:val="18"/>
        </w:rPr>
        <w:t xml:space="preserve"> selectors, and server-driven configuration to avoid redeploying the client for minor changes.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built secure authentication flows using </w:t>
      </w:r>
      <w:r w:rsidRPr="00C24A50">
        <w:rPr>
          <w:rStyle w:val="Strong"/>
          <w:rFonts w:ascii="Arial" w:hAnsi="Arial" w:cs="Arial"/>
          <w:sz w:val="18"/>
        </w:rPr>
        <w:t>OAuth2/OIDC</w:t>
      </w:r>
      <w:r w:rsidRPr="00C24A50">
        <w:rPr>
          <w:rFonts w:ascii="Arial" w:hAnsi="Arial" w:cs="Arial"/>
          <w:sz w:val="18"/>
        </w:rPr>
        <w:t xml:space="preserve"> and </w:t>
      </w:r>
      <w:r w:rsidRPr="00C24A50">
        <w:rPr>
          <w:rStyle w:val="Strong"/>
          <w:rFonts w:ascii="Arial" w:hAnsi="Arial" w:cs="Arial"/>
          <w:sz w:val="18"/>
        </w:rPr>
        <w:t>JWT</w:t>
      </w:r>
      <w:r w:rsidRPr="00C24A50">
        <w:rPr>
          <w:rFonts w:ascii="Arial" w:hAnsi="Arial" w:cs="Arial"/>
          <w:sz w:val="18"/>
        </w:rPr>
        <w:t xml:space="preserve"> with refresh-rotation safeguards, preventing session fixation issues while keeping tenants signed in across intermittent connectivity.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implemented search experiences on </w:t>
      </w:r>
      <w:proofErr w:type="spellStart"/>
      <w:r w:rsidRPr="00C24A50">
        <w:rPr>
          <w:rStyle w:val="Strong"/>
          <w:rFonts w:ascii="Arial" w:hAnsi="Arial" w:cs="Arial"/>
          <w:sz w:val="18"/>
        </w:rPr>
        <w:t>Elasticsearch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7.x</w:t>
      </w:r>
      <w:r w:rsidRPr="00C24A50">
        <w:rPr>
          <w:rFonts w:ascii="Arial" w:hAnsi="Arial" w:cs="Arial"/>
          <w:sz w:val="18"/>
        </w:rPr>
        <w:t xml:space="preserve"> for leases, properties, and parties, tuning analyzers and pagination to keep result relevance high without letting fuzzy queries spike latency.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designed a </w:t>
      </w:r>
      <w:proofErr w:type="spellStart"/>
      <w:r w:rsidRPr="00C24A50">
        <w:rPr>
          <w:rFonts w:ascii="Arial" w:hAnsi="Arial" w:cs="Arial"/>
          <w:sz w:val="18"/>
        </w:rPr>
        <w:t>microservice</w:t>
      </w:r>
      <w:proofErr w:type="spellEnd"/>
      <w:r w:rsidRPr="00C24A50">
        <w:rPr>
          <w:rFonts w:ascii="Arial" w:hAnsi="Arial" w:cs="Arial"/>
          <w:sz w:val="18"/>
        </w:rPr>
        <w:t xml:space="preserve"> boundary between “Payments”, “Ledger”, and “Property Context” services, enabling independent </w:t>
      </w:r>
      <w:proofErr w:type="spellStart"/>
      <w:r w:rsidRPr="00C24A50">
        <w:rPr>
          <w:rFonts w:ascii="Arial" w:hAnsi="Arial" w:cs="Arial"/>
          <w:sz w:val="18"/>
        </w:rPr>
        <w:t>deployability</w:t>
      </w:r>
      <w:proofErr w:type="spellEnd"/>
      <w:r w:rsidRPr="00C24A50">
        <w:rPr>
          <w:rFonts w:ascii="Arial" w:hAnsi="Arial" w:cs="Arial"/>
          <w:sz w:val="18"/>
        </w:rPr>
        <w:t xml:space="preserve"> while enforcing consistent error semantics and traceable correlation IDs.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resolved a high-impact bug where </w:t>
      </w:r>
      <w:proofErr w:type="spellStart"/>
      <w:r w:rsidRPr="00C24A50">
        <w:rPr>
          <w:rFonts w:ascii="Arial" w:hAnsi="Arial" w:cs="Arial"/>
          <w:sz w:val="18"/>
        </w:rPr>
        <w:t>timezone</w:t>
      </w:r>
      <w:proofErr w:type="spellEnd"/>
      <w:r w:rsidRPr="00C24A50">
        <w:rPr>
          <w:rFonts w:ascii="Arial" w:hAnsi="Arial" w:cs="Arial"/>
          <w:sz w:val="18"/>
        </w:rPr>
        <w:t xml:space="preserve"> normalization shifted “rent due” dates for a subset of locales, fixing it by canonical UTC storage and strict parsing rules at the API edge.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introduced queue-driven processing with </w:t>
      </w:r>
      <w:r w:rsidRPr="00C24A50">
        <w:rPr>
          <w:rStyle w:val="Strong"/>
          <w:rFonts w:ascii="Arial" w:hAnsi="Arial" w:cs="Arial"/>
          <w:sz w:val="18"/>
        </w:rPr>
        <w:t>SQS/SNS</w:t>
      </w:r>
      <w:r w:rsidRPr="00C24A50">
        <w:rPr>
          <w:rFonts w:ascii="Arial" w:hAnsi="Arial" w:cs="Arial"/>
          <w:sz w:val="18"/>
        </w:rPr>
        <w:t xml:space="preserve"> for </w:t>
      </w:r>
      <w:proofErr w:type="spellStart"/>
      <w:r w:rsidRPr="00C24A50">
        <w:rPr>
          <w:rFonts w:ascii="Arial" w:hAnsi="Arial" w:cs="Arial"/>
          <w:sz w:val="18"/>
        </w:rPr>
        <w:t>webhook</w:t>
      </w:r>
      <w:proofErr w:type="spellEnd"/>
      <w:r w:rsidRPr="00C24A50">
        <w:rPr>
          <w:rFonts w:ascii="Arial" w:hAnsi="Arial" w:cs="Arial"/>
          <w:sz w:val="18"/>
        </w:rPr>
        <w:t xml:space="preserve"> ingestion and notification </w:t>
      </w:r>
      <w:proofErr w:type="spellStart"/>
      <w:r w:rsidRPr="00C24A50">
        <w:rPr>
          <w:rFonts w:ascii="Arial" w:hAnsi="Arial" w:cs="Arial"/>
          <w:sz w:val="18"/>
        </w:rPr>
        <w:t>fanout</w:t>
      </w:r>
      <w:proofErr w:type="spellEnd"/>
      <w:r w:rsidRPr="00C24A50">
        <w:rPr>
          <w:rFonts w:ascii="Arial" w:hAnsi="Arial" w:cs="Arial"/>
          <w:sz w:val="18"/>
        </w:rPr>
        <w:t>, cutting provider-timeout incidents through backpressure control and deterministic message handling.</w:t>
      </w:r>
    </w:p>
    <w:p w:rsidR="00C24A50" w:rsidRP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improved infrastructure reliability on </w:t>
      </w:r>
      <w:r w:rsidRPr="00C24A50">
        <w:rPr>
          <w:rStyle w:val="Strong"/>
          <w:rFonts w:ascii="Arial" w:hAnsi="Arial" w:cs="Arial"/>
          <w:sz w:val="18"/>
        </w:rPr>
        <w:t>AWS ECS/EKS</w:t>
      </w:r>
      <w:r w:rsidRPr="00C24A50">
        <w:rPr>
          <w:rFonts w:ascii="Arial" w:hAnsi="Arial" w:cs="Arial"/>
          <w:sz w:val="18"/>
        </w:rPr>
        <w:t xml:space="preserve"> by standardizing health checks, circuit breakers, and rollout policies, so partial failures degraded gracefully instead of cascading into checkout outages.</w:t>
      </w:r>
    </w:p>
    <w:p w:rsid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enforced unit and integration testing with contract-style fixtures around payment provider edge cases, preventing regressions when upstream payloads changed subtly during provider version rollouts.</w:t>
      </w:r>
    </w:p>
    <w:p w:rsidR="00C24A50" w:rsidRDefault="00C24A50" w:rsidP="00C24A50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mentored engineers through code reviews that focused on concurrency safety, testability, and domain clarity, which raised delivery speed while keeping financial correctness non-negotiable.</w:t>
      </w:r>
    </w:p>
    <w:p w:rsidR="00C24A50" w:rsidRPr="00C24A50" w:rsidRDefault="00C24A50" w:rsidP="00C24A50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built responsive dashboards in </w:t>
      </w:r>
      <w:r w:rsidRPr="00C24A50">
        <w:rPr>
          <w:rStyle w:val="Strong"/>
          <w:rFonts w:ascii="Arial" w:hAnsi="Arial" w:cs="Arial"/>
          <w:sz w:val="18"/>
        </w:rPr>
        <w:t>React 17</w:t>
      </w:r>
      <w:r w:rsidRPr="00C24A50">
        <w:rPr>
          <w:rFonts w:ascii="Arial" w:hAnsi="Arial" w:cs="Arial"/>
          <w:sz w:val="18"/>
        </w:rPr>
        <w:t xml:space="preserve"> and </w:t>
      </w:r>
      <w:proofErr w:type="spellStart"/>
      <w:r w:rsidRPr="00C24A50">
        <w:rPr>
          <w:rStyle w:val="Strong"/>
          <w:rFonts w:ascii="Arial" w:hAnsi="Arial" w:cs="Arial"/>
          <w:sz w:val="18"/>
        </w:rPr>
        <w:t>TypeScript</w:t>
      </w:r>
      <w:proofErr w:type="spellEnd"/>
      <w:r w:rsidRPr="00C24A50">
        <w:rPr>
          <w:rFonts w:ascii="Arial" w:hAnsi="Arial" w:cs="Arial"/>
          <w:sz w:val="18"/>
        </w:rPr>
        <w:t xml:space="preserve"> that exposed real-time payment and reconciliation signals, making operational decisions faster while reducing “unknown state” escalations.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implemented backend services in </w:t>
      </w:r>
      <w:r w:rsidRPr="00C24A50">
        <w:rPr>
          <w:rStyle w:val="Strong"/>
          <w:rFonts w:ascii="Arial" w:hAnsi="Arial" w:cs="Arial"/>
          <w:sz w:val="18"/>
        </w:rPr>
        <w:t>Node.js 14/16</w:t>
      </w:r>
      <w:r w:rsidRPr="00C24A50">
        <w:rPr>
          <w:rFonts w:ascii="Arial" w:hAnsi="Arial" w:cs="Arial"/>
          <w:sz w:val="18"/>
        </w:rPr>
        <w:t xml:space="preserve"> and </w:t>
      </w:r>
      <w:r w:rsidRPr="00C24A50">
        <w:rPr>
          <w:rStyle w:val="Strong"/>
          <w:rFonts w:ascii="Arial" w:hAnsi="Arial" w:cs="Arial"/>
          <w:sz w:val="18"/>
        </w:rPr>
        <w:t>Python 3.9</w:t>
      </w:r>
      <w:r w:rsidRPr="00C24A50">
        <w:rPr>
          <w:rFonts w:ascii="Arial" w:hAnsi="Arial" w:cs="Arial"/>
          <w:sz w:val="18"/>
        </w:rPr>
        <w:t xml:space="preserve"> that unified partner APIs behind stable contracts, which reduced integration defects by centralizing validation and retries.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</w:t>
      </w:r>
      <w:proofErr w:type="gramStart"/>
      <w:r w:rsidRPr="00C24A50">
        <w:rPr>
          <w:rFonts w:ascii="Arial" w:hAnsi="Arial" w:cs="Arial"/>
          <w:sz w:val="18"/>
        </w:rPr>
        <w:t>migrated</w:t>
      </w:r>
      <w:proofErr w:type="gramEnd"/>
      <w:r w:rsidRPr="00C24A50">
        <w:rPr>
          <w:rFonts w:ascii="Arial" w:hAnsi="Arial" w:cs="Arial"/>
          <w:sz w:val="18"/>
        </w:rPr>
        <w:t xml:space="preserve"> a monolithic API layer into </w:t>
      </w:r>
      <w:proofErr w:type="spellStart"/>
      <w:r w:rsidRPr="00C24A50">
        <w:rPr>
          <w:rFonts w:ascii="Arial" w:hAnsi="Arial" w:cs="Arial"/>
          <w:sz w:val="18"/>
        </w:rPr>
        <w:t>microservices</w:t>
      </w:r>
      <w:proofErr w:type="spellEnd"/>
      <w:r w:rsidRPr="00C24A50">
        <w:rPr>
          <w:rFonts w:ascii="Arial" w:hAnsi="Arial" w:cs="Arial"/>
          <w:sz w:val="18"/>
        </w:rPr>
        <w:t xml:space="preserve"> with a shared gateway approach, keeping external endpoints stable while moving internal domains behind cleaner boundaries and ownership.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fixed a critical bug where partial failures in a multi-step payout flow left records “stuck” indefinitely, resolving it with a saga-like state machine and compensating actions tied to durable events.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introduced a Kafka-based event log pattern that approximated </w:t>
      </w:r>
      <w:r w:rsidRPr="00C24A50">
        <w:rPr>
          <w:rStyle w:val="Strong"/>
          <w:rFonts w:ascii="Arial" w:hAnsi="Arial" w:cs="Arial"/>
          <w:sz w:val="18"/>
        </w:rPr>
        <w:t>event sourcing</w:t>
      </w:r>
      <w:r w:rsidRPr="00C24A50">
        <w:rPr>
          <w:rFonts w:ascii="Arial" w:hAnsi="Arial" w:cs="Arial"/>
          <w:sz w:val="18"/>
        </w:rPr>
        <w:t xml:space="preserve"> for key domain transitions, enabling replay and audit trails without forcing every subsystem into full CQRS complexity.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upgraded an older React area to a modern component architecture with hooks and typed boundaries, reducing runtime UI crashes by removing unsafe implicit any-casts and brittle lifecycle coupling.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optimized database hotspots in </w:t>
      </w:r>
      <w:proofErr w:type="spellStart"/>
      <w:r w:rsidRPr="00C24A50">
        <w:rPr>
          <w:rStyle w:val="Strong"/>
          <w:rFonts w:ascii="Arial" w:hAnsi="Arial" w:cs="Arial"/>
          <w:sz w:val="18"/>
        </w:rPr>
        <w:t>PostgreSQL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12/13</w:t>
      </w:r>
      <w:r w:rsidRPr="00C24A50">
        <w:rPr>
          <w:rFonts w:ascii="Arial" w:hAnsi="Arial" w:cs="Arial"/>
          <w:sz w:val="18"/>
        </w:rPr>
        <w:t xml:space="preserve"> by rewriting queries around indexes and selective projections, improving p95 latency on reporting endpoints during peak billing cycles.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implemented flexible document storage in </w:t>
      </w:r>
      <w:proofErr w:type="spellStart"/>
      <w:r w:rsidRPr="00C24A50">
        <w:rPr>
          <w:rStyle w:val="Strong"/>
          <w:rFonts w:ascii="Arial" w:hAnsi="Arial" w:cs="Arial"/>
          <w:sz w:val="18"/>
        </w:rPr>
        <w:t>MongoDB</w:t>
      </w:r>
      <w:proofErr w:type="spellEnd"/>
      <w:r w:rsidRPr="00C24A50">
        <w:rPr>
          <w:rStyle w:val="Strong"/>
          <w:rFonts w:ascii="Arial" w:hAnsi="Arial" w:cs="Arial"/>
          <w:sz w:val="18"/>
        </w:rPr>
        <w:t xml:space="preserve"> 4.4/5.0</w:t>
      </w:r>
      <w:r w:rsidRPr="00C24A50">
        <w:rPr>
          <w:rFonts w:ascii="Arial" w:hAnsi="Arial" w:cs="Arial"/>
          <w:sz w:val="18"/>
        </w:rPr>
        <w:t xml:space="preserve"> for partner-specific metadata, while protecting core schemas by isolating optional fields and validating writes through strict API contracts.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strengthened security with RBAC and audit logging around privileged actions, ensuring investigations could reconstruct “who did what and why” across both UI and service layers.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built robust </w:t>
      </w:r>
      <w:proofErr w:type="spellStart"/>
      <w:r w:rsidRPr="00C24A50">
        <w:rPr>
          <w:rFonts w:ascii="Arial" w:hAnsi="Arial" w:cs="Arial"/>
          <w:sz w:val="18"/>
        </w:rPr>
        <w:t>webhook</w:t>
      </w:r>
      <w:proofErr w:type="spellEnd"/>
      <w:r w:rsidRPr="00C24A50">
        <w:rPr>
          <w:rFonts w:ascii="Arial" w:hAnsi="Arial" w:cs="Arial"/>
          <w:sz w:val="18"/>
        </w:rPr>
        <w:t xml:space="preserve"> processing with </w:t>
      </w:r>
      <w:proofErr w:type="spellStart"/>
      <w:r w:rsidRPr="00C24A50">
        <w:rPr>
          <w:rFonts w:ascii="Arial" w:hAnsi="Arial" w:cs="Arial"/>
          <w:sz w:val="18"/>
        </w:rPr>
        <w:t>deduplication</w:t>
      </w:r>
      <w:proofErr w:type="spellEnd"/>
      <w:r w:rsidRPr="00C24A50">
        <w:rPr>
          <w:rFonts w:ascii="Arial" w:hAnsi="Arial" w:cs="Arial"/>
          <w:sz w:val="18"/>
        </w:rPr>
        <w:t xml:space="preserve"> and bounded concurrency, preventing provider retry storms from overwhelming downstream services during regional network instability.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improved developer productivity by standardizing CI pipelines with test gates and smoke checks, reducing broken deployments through consistent promotion rules and reproducible build artifacts.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implemented </w:t>
      </w:r>
      <w:proofErr w:type="spellStart"/>
      <w:r w:rsidRPr="00C24A50">
        <w:rPr>
          <w:rFonts w:ascii="Arial" w:hAnsi="Arial" w:cs="Arial"/>
          <w:sz w:val="18"/>
        </w:rPr>
        <w:t>observability</w:t>
      </w:r>
      <w:proofErr w:type="spellEnd"/>
      <w:r w:rsidRPr="00C24A50">
        <w:rPr>
          <w:rFonts w:ascii="Arial" w:hAnsi="Arial" w:cs="Arial"/>
          <w:sz w:val="18"/>
        </w:rPr>
        <w:t xml:space="preserve"> practices with trace correlation IDs and structured logs, enabling faster root-cause analysis when cross-service failures occurred under real customer load.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 xml:space="preserve">I rolled out caching for read-heavy reference data using </w:t>
      </w:r>
      <w:proofErr w:type="spellStart"/>
      <w:r w:rsidRPr="00C24A50">
        <w:rPr>
          <w:rFonts w:ascii="Arial" w:hAnsi="Arial" w:cs="Arial"/>
          <w:sz w:val="18"/>
        </w:rPr>
        <w:t>Redis</w:t>
      </w:r>
      <w:proofErr w:type="spellEnd"/>
      <w:r w:rsidRPr="00C24A50">
        <w:rPr>
          <w:rFonts w:ascii="Arial" w:hAnsi="Arial" w:cs="Arial"/>
          <w:sz w:val="18"/>
        </w:rPr>
        <w:t xml:space="preserve"> patterns, while safeguarding correctness through explicit invalidation rules tied to event-driven updates rather than ad-hoc TTL guesses.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delivered user-facing features that directly moved critical business metrics, while keeping experiments safe through feature flags, analytics validation, and tightly scoped rollback plans.</w:t>
      </w:r>
    </w:p>
    <w:p w:rsidR="00C24A50" w:rsidRPr="00C24A50" w:rsidRDefault="00C24A50" w:rsidP="00C24A50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C24A50">
        <w:rPr>
          <w:rFonts w:ascii="Arial" w:hAnsi="Arial" w:cs="Arial"/>
          <w:sz w:val="18"/>
        </w:rPr>
        <w:t>I collaborated closely with product and design to ship incrementally without sacrificing reliability, translating ambiguous requirements into testable behaviors and measurable outcomes.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 xml:space="preserve">I developed core web screens using </w:t>
      </w:r>
      <w:r w:rsidRPr="00FA2A89">
        <w:rPr>
          <w:rStyle w:val="Strong"/>
          <w:rFonts w:ascii="Arial" w:hAnsi="Arial" w:cs="Arial"/>
          <w:sz w:val="18"/>
        </w:rPr>
        <w:t>Angular 8</w:t>
      </w:r>
      <w:r w:rsidRPr="00FA2A89">
        <w:rPr>
          <w:rFonts w:ascii="Arial" w:hAnsi="Arial" w:cs="Arial"/>
          <w:sz w:val="18"/>
        </w:rPr>
        <w:t xml:space="preserve"> and </w:t>
      </w:r>
      <w:proofErr w:type="spellStart"/>
      <w:r w:rsidRPr="00FA2A89">
        <w:rPr>
          <w:rFonts w:ascii="Arial" w:hAnsi="Arial" w:cs="Arial"/>
          <w:sz w:val="18"/>
        </w:rPr>
        <w:t>TypeScript</w:t>
      </w:r>
      <w:proofErr w:type="spellEnd"/>
      <w:r w:rsidRPr="00FA2A89">
        <w:rPr>
          <w:rFonts w:ascii="Arial" w:hAnsi="Arial" w:cs="Arial"/>
          <w:sz w:val="18"/>
        </w:rPr>
        <w:t>, focusing on fast forms and predictable state so property managers could execute workflows without UI stalls.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 xml:space="preserve">I built backend endpoints in </w:t>
      </w:r>
      <w:r w:rsidRPr="00FA2A89">
        <w:rPr>
          <w:rStyle w:val="Strong"/>
          <w:rFonts w:ascii="Arial" w:hAnsi="Arial" w:cs="Arial"/>
          <w:sz w:val="18"/>
        </w:rPr>
        <w:t>Python 3.8</w:t>
      </w:r>
      <w:r w:rsidRPr="00FA2A89">
        <w:rPr>
          <w:rFonts w:ascii="Arial" w:hAnsi="Arial" w:cs="Arial"/>
          <w:sz w:val="18"/>
        </w:rPr>
        <w:t xml:space="preserve"> and </w:t>
      </w:r>
      <w:r w:rsidRPr="00FA2A89">
        <w:rPr>
          <w:rStyle w:val="Strong"/>
          <w:rFonts w:ascii="Arial" w:hAnsi="Arial" w:cs="Arial"/>
          <w:sz w:val="18"/>
        </w:rPr>
        <w:t>Node.js 12</w:t>
      </w:r>
      <w:r w:rsidRPr="00FA2A89">
        <w:rPr>
          <w:rFonts w:ascii="Arial" w:hAnsi="Arial" w:cs="Arial"/>
          <w:sz w:val="18"/>
        </w:rPr>
        <w:t xml:space="preserve"> that supported CRUD, reporting, and batch operations, keeping contracts stable while the product matured quickly.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 xml:space="preserve">I designed schemas in </w:t>
      </w:r>
      <w:r w:rsidRPr="00FA2A89">
        <w:rPr>
          <w:rStyle w:val="Strong"/>
          <w:rFonts w:ascii="Arial" w:hAnsi="Arial" w:cs="Arial"/>
          <w:sz w:val="18"/>
        </w:rPr>
        <w:t>MySQL 5.7</w:t>
      </w:r>
      <w:r w:rsidRPr="00FA2A89">
        <w:rPr>
          <w:rFonts w:ascii="Arial" w:hAnsi="Arial" w:cs="Arial"/>
          <w:sz w:val="18"/>
        </w:rPr>
        <w:t xml:space="preserve"> and </w:t>
      </w:r>
      <w:proofErr w:type="spellStart"/>
      <w:r w:rsidRPr="00FA2A89">
        <w:rPr>
          <w:rStyle w:val="Strong"/>
          <w:rFonts w:ascii="Arial" w:hAnsi="Arial" w:cs="Arial"/>
          <w:sz w:val="18"/>
        </w:rPr>
        <w:t>PostgreSQL</w:t>
      </w:r>
      <w:proofErr w:type="spellEnd"/>
      <w:r w:rsidRPr="00FA2A89">
        <w:rPr>
          <w:rStyle w:val="Strong"/>
          <w:rFonts w:ascii="Arial" w:hAnsi="Arial" w:cs="Arial"/>
          <w:sz w:val="18"/>
        </w:rPr>
        <w:t xml:space="preserve"> 11</w:t>
      </w:r>
      <w:r w:rsidRPr="00FA2A89">
        <w:rPr>
          <w:rFonts w:ascii="Arial" w:hAnsi="Arial" w:cs="Arial"/>
          <w:sz w:val="18"/>
        </w:rPr>
        <w:t>with careful indexing and migration discipline, preventing silent data drift as tenant records and lease histories grew.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fixed a critical bug where numeric rounding errors changed invoice totals between UI and API, solving it by enforcing decimal-safe handling, invariant formatting, and regression tests for edge cases.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 xml:space="preserve">I introduced an early search module backed by </w:t>
      </w:r>
      <w:proofErr w:type="spellStart"/>
      <w:r w:rsidRPr="00FA2A89">
        <w:rPr>
          <w:rStyle w:val="Strong"/>
          <w:rFonts w:ascii="Arial" w:hAnsi="Arial" w:cs="Arial"/>
          <w:sz w:val="18"/>
        </w:rPr>
        <w:t>Elasticsearch</w:t>
      </w:r>
      <w:proofErr w:type="spellEnd"/>
      <w:r w:rsidRPr="00FA2A89">
        <w:rPr>
          <w:rStyle w:val="Strong"/>
          <w:rFonts w:ascii="Arial" w:hAnsi="Arial" w:cs="Arial"/>
          <w:sz w:val="18"/>
        </w:rPr>
        <w:t xml:space="preserve"> 6/7</w:t>
      </w:r>
      <w:r w:rsidRPr="00FA2A89">
        <w:rPr>
          <w:rFonts w:ascii="Arial" w:hAnsi="Arial" w:cs="Arial"/>
          <w:sz w:val="18"/>
        </w:rPr>
        <w:t xml:space="preserve"> patterns, improving lookup speed for properties and tenants while tuning analyzers to avoid noisy matches.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upgraded legacy build and dependency chains carefully to newer stable versions, reducing security findings while preventing “big bang” breakage through incremental refactors and feature-parity checks.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implemented background processing for imports and scheduled tasks, adding retry policies and idempotent job keys to reduce manual re-runs and eliminate duplicate side effects.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improved API security by adding token-based authentication and role checks, ensuring sensitive tenant data was protected while still enabling operational tooling for internal support teams.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added unit and integration tests around high-risk flows like billing exports and data imports, reducing production regressions by catching format and boundary issues earlier.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optimized slow reporting queries by using pagination, selective columns, and indexes, preventing timeouts when users ran monthly statements across large portfolios.</w:t>
      </w:r>
    </w:p>
    <w:p w:rsidR="00FA2A89" w:rsidRPr="00FA2A89" w:rsidRDefault="00FA2A89" w:rsidP="00FA2A89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partnered with stakeholders to translate property operations needs into well-scoped features, delivering reliably while learning how to balance speed, correctness, and maintainability.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Default="00AC091D" w:rsidP="00AC091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E52FB3">
        <w:rPr>
          <w:rFonts w:ascii="Arial" w:hAnsi="Arial" w:cs="Arial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FA2A89" w:rsidRDefault="00FA2A89" w:rsidP="00FA2A89">
      <w:pPr>
        <w:jc w:val="both"/>
        <w:rPr>
          <w:rFonts w:ascii="Arial" w:hAnsi="Arial" w:cs="Arial"/>
          <w:sz w:val="18"/>
          <w:szCs w:val="18"/>
        </w:rPr>
      </w:pPr>
    </w:p>
    <w:p w:rsidR="00FA2A89" w:rsidRDefault="00FA2A89" w:rsidP="00FA2A89">
      <w:pPr>
        <w:jc w:val="both"/>
        <w:rPr>
          <w:rFonts w:ascii="Arial" w:hAnsi="Arial" w:cs="Arial"/>
          <w:sz w:val="18"/>
          <w:szCs w:val="18"/>
        </w:rPr>
      </w:pPr>
    </w:p>
    <w:p w:rsidR="00FA2A89" w:rsidRPr="00FA2A89" w:rsidRDefault="00FA2A89" w:rsidP="00FA2A89">
      <w:pPr>
        <w:jc w:val="both"/>
        <w:rPr>
          <w:rFonts w:ascii="Arial" w:hAnsi="Arial" w:cs="Arial"/>
          <w:sz w:val="18"/>
          <w:szCs w:val="18"/>
        </w:rPr>
      </w:pP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PROJECTS</w:t>
      </w:r>
    </w:p>
    <w:p w:rsidR="00FA2A89" w:rsidRPr="00FA2A89" w:rsidRDefault="00FA2A89" w:rsidP="00FA2A89">
      <w:pPr>
        <w:pStyle w:val="NormalWeb"/>
        <w:jc w:val="both"/>
        <w:rPr>
          <w:rFonts w:ascii="Arial" w:hAnsi="Arial" w:cs="Arial"/>
          <w:sz w:val="18"/>
        </w:rPr>
      </w:pPr>
      <w:r w:rsidRPr="00FA2A89">
        <w:rPr>
          <w:rStyle w:val="Strong"/>
          <w:rFonts w:ascii="Arial" w:hAnsi="Arial" w:cs="Arial"/>
          <w:sz w:val="18"/>
        </w:rPr>
        <w:t>Rental Payments Trust Layer (</w:t>
      </w:r>
      <w:proofErr w:type="spellStart"/>
      <w:r w:rsidRPr="00FA2A89">
        <w:rPr>
          <w:rStyle w:val="Strong"/>
          <w:rFonts w:ascii="Arial" w:hAnsi="Arial" w:cs="Arial"/>
          <w:sz w:val="18"/>
        </w:rPr>
        <w:t>FinTech</w:t>
      </w:r>
      <w:proofErr w:type="spellEnd"/>
      <w:r w:rsidRPr="00FA2A89">
        <w:rPr>
          <w:rStyle w:val="Strong"/>
          <w:rFonts w:ascii="Arial" w:hAnsi="Arial" w:cs="Arial"/>
          <w:sz w:val="18"/>
        </w:rPr>
        <w:t xml:space="preserve"> + Property Management)</w:t>
      </w:r>
    </w:p>
    <w:p w:rsidR="00FA2A89" w:rsidRPr="00FA2A89" w:rsidRDefault="00FA2A89" w:rsidP="00FA2A89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 xml:space="preserve">I delivered a trust-centric payment flow that combined renter verification, landlord payout controls, and dispute-friendly audit logs, ensuring correctness even under </w:t>
      </w:r>
      <w:proofErr w:type="spellStart"/>
      <w:r w:rsidRPr="00FA2A89">
        <w:rPr>
          <w:rFonts w:ascii="Arial" w:hAnsi="Arial" w:cs="Arial"/>
          <w:sz w:val="18"/>
        </w:rPr>
        <w:t>webhook</w:t>
      </w:r>
      <w:proofErr w:type="spellEnd"/>
      <w:r w:rsidRPr="00FA2A89">
        <w:rPr>
          <w:rFonts w:ascii="Arial" w:hAnsi="Arial" w:cs="Arial"/>
          <w:sz w:val="18"/>
        </w:rPr>
        <w:t xml:space="preserve"> retries and partial outages.</w:t>
      </w:r>
    </w:p>
    <w:p w:rsidR="00FA2A89" w:rsidRPr="00FA2A89" w:rsidRDefault="00FA2A89" w:rsidP="00FA2A89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implemented an experiment framework for checkout UX and fee disclosures, enabling A/B testing while keeping analytics consistent through deterministic assignment and well-defined event schemas.</w:t>
      </w:r>
    </w:p>
    <w:p w:rsidR="00FA2A89" w:rsidRPr="00FA2A89" w:rsidRDefault="00FA2A89" w:rsidP="00FA2A89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 xml:space="preserve">I built a reconciliation pipeline that compared provider events to internal ledger transitions, catching mismatches early and reducing support load with explainable, </w:t>
      </w:r>
      <w:proofErr w:type="spellStart"/>
      <w:r w:rsidRPr="00FA2A89">
        <w:rPr>
          <w:rFonts w:ascii="Arial" w:hAnsi="Arial" w:cs="Arial"/>
          <w:sz w:val="18"/>
        </w:rPr>
        <w:t>queryable</w:t>
      </w:r>
      <w:proofErr w:type="spellEnd"/>
      <w:r w:rsidRPr="00FA2A89">
        <w:rPr>
          <w:rFonts w:ascii="Arial" w:hAnsi="Arial" w:cs="Arial"/>
          <w:sz w:val="18"/>
        </w:rPr>
        <w:t xml:space="preserve"> state histories.</w:t>
      </w:r>
    </w:p>
    <w:p w:rsidR="00FA2A89" w:rsidRPr="00FA2A89" w:rsidRDefault="00FA2A89" w:rsidP="00FA2A89">
      <w:pPr>
        <w:pStyle w:val="NormalWeb"/>
        <w:numPr>
          <w:ilvl w:val="0"/>
          <w:numId w:val="45"/>
        </w:numPr>
        <w:jc w:val="both"/>
        <w:rPr>
          <w:rFonts w:ascii="Arial" w:hAnsi="Arial" w:cs="Arial"/>
          <w:sz w:val="18"/>
        </w:rPr>
      </w:pPr>
      <w:r w:rsidRPr="00FA2A89">
        <w:rPr>
          <w:rFonts w:ascii="Arial" w:hAnsi="Arial" w:cs="Arial"/>
          <w:sz w:val="18"/>
        </w:rPr>
        <w:t>I strengthened security with OAuth2/OIDC, JWT rotation, RBAC, and audit trails, ensuring privileged actions were traceable while keeping the end-user experience fast and intuitive.</w:t>
      </w:r>
    </w:p>
    <w:bookmarkEnd w:id="0"/>
    <w:p w:rsidR="0071175B" w:rsidRPr="0071175B" w:rsidRDefault="0071175B" w:rsidP="00FA2A89">
      <w:pPr>
        <w:pStyle w:val="NormalWeb"/>
        <w:jc w:val="both"/>
        <w:rPr>
          <w:rFonts w:ascii="Arial" w:hAnsi="Arial" w:cs="Arial"/>
          <w:sz w:val="18"/>
        </w:rPr>
      </w:pPr>
    </w:p>
    <w:sectPr w:rsidR="0071175B" w:rsidRPr="0071175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D411AE"/>
    <w:multiLevelType w:val="multilevel"/>
    <w:tmpl w:val="E54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7B3BA4"/>
    <w:multiLevelType w:val="hybridMultilevel"/>
    <w:tmpl w:val="AA8EB0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D7575"/>
    <w:multiLevelType w:val="hybridMultilevel"/>
    <w:tmpl w:val="2ADCAEE4"/>
    <w:lvl w:ilvl="0" w:tplc="7B6C5DF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E8D2BB1"/>
    <w:multiLevelType w:val="hybridMultilevel"/>
    <w:tmpl w:val="2F425932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2C71817"/>
    <w:multiLevelType w:val="hybridMultilevel"/>
    <w:tmpl w:val="BD4828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3A97728"/>
    <w:multiLevelType w:val="hybridMultilevel"/>
    <w:tmpl w:val="FC3C3A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84348BF"/>
    <w:multiLevelType w:val="hybridMultilevel"/>
    <w:tmpl w:val="B8D6976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EE7011"/>
    <w:multiLevelType w:val="hybridMultilevel"/>
    <w:tmpl w:val="61D2405E"/>
    <w:lvl w:ilvl="0" w:tplc="30B62D3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FEE5A79"/>
    <w:multiLevelType w:val="hybridMultilevel"/>
    <w:tmpl w:val="1BB4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>
    <w:nsid w:val="733451FF"/>
    <w:multiLevelType w:val="multilevel"/>
    <w:tmpl w:val="E5848D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</w:num>
  <w:num w:numId="2">
    <w:abstractNumId w:val="42"/>
  </w:num>
  <w:num w:numId="3">
    <w:abstractNumId w:val="14"/>
  </w:num>
  <w:num w:numId="4">
    <w:abstractNumId w:val="30"/>
  </w:num>
  <w:num w:numId="5">
    <w:abstractNumId w:val="31"/>
  </w:num>
  <w:num w:numId="6">
    <w:abstractNumId w:val="40"/>
  </w:num>
  <w:num w:numId="7">
    <w:abstractNumId w:val="16"/>
  </w:num>
  <w:num w:numId="8">
    <w:abstractNumId w:val="21"/>
  </w:num>
  <w:num w:numId="9">
    <w:abstractNumId w:val="0"/>
  </w:num>
  <w:num w:numId="10">
    <w:abstractNumId w:val="13"/>
  </w:num>
  <w:num w:numId="11">
    <w:abstractNumId w:val="7"/>
  </w:num>
  <w:num w:numId="12">
    <w:abstractNumId w:val="15"/>
  </w:num>
  <w:num w:numId="13">
    <w:abstractNumId w:val="44"/>
  </w:num>
  <w:num w:numId="14">
    <w:abstractNumId w:val="32"/>
  </w:num>
  <w:num w:numId="15">
    <w:abstractNumId w:val="2"/>
  </w:num>
  <w:num w:numId="16">
    <w:abstractNumId w:val="35"/>
  </w:num>
  <w:num w:numId="17">
    <w:abstractNumId w:val="10"/>
  </w:num>
  <w:num w:numId="18">
    <w:abstractNumId w:val="29"/>
  </w:num>
  <w:num w:numId="19">
    <w:abstractNumId w:val="3"/>
  </w:num>
  <w:num w:numId="20">
    <w:abstractNumId w:val="5"/>
  </w:num>
  <w:num w:numId="21">
    <w:abstractNumId w:val="17"/>
  </w:num>
  <w:num w:numId="22">
    <w:abstractNumId w:val="23"/>
  </w:num>
  <w:num w:numId="23">
    <w:abstractNumId w:val="20"/>
  </w:num>
  <w:num w:numId="24">
    <w:abstractNumId w:val="22"/>
  </w:num>
  <w:num w:numId="25">
    <w:abstractNumId w:val="8"/>
  </w:num>
  <w:num w:numId="26">
    <w:abstractNumId w:val="27"/>
  </w:num>
  <w:num w:numId="27">
    <w:abstractNumId w:val="24"/>
  </w:num>
  <w:num w:numId="28">
    <w:abstractNumId w:val="25"/>
  </w:num>
  <w:num w:numId="29">
    <w:abstractNumId w:val="33"/>
  </w:num>
  <w:num w:numId="30">
    <w:abstractNumId w:val="12"/>
  </w:num>
  <w:num w:numId="31">
    <w:abstractNumId w:val="43"/>
  </w:num>
  <w:num w:numId="32">
    <w:abstractNumId w:val="9"/>
  </w:num>
  <w:num w:numId="33">
    <w:abstractNumId w:val="37"/>
  </w:num>
  <w:num w:numId="34">
    <w:abstractNumId w:val="41"/>
  </w:num>
  <w:num w:numId="35">
    <w:abstractNumId w:val="28"/>
  </w:num>
  <w:num w:numId="36">
    <w:abstractNumId w:val="39"/>
  </w:num>
  <w:num w:numId="37">
    <w:abstractNumId w:val="36"/>
  </w:num>
  <w:num w:numId="38">
    <w:abstractNumId w:val="26"/>
  </w:num>
  <w:num w:numId="39">
    <w:abstractNumId w:val="4"/>
  </w:num>
  <w:num w:numId="40">
    <w:abstractNumId w:val="18"/>
  </w:num>
  <w:num w:numId="41">
    <w:abstractNumId w:val="6"/>
  </w:num>
  <w:num w:numId="42">
    <w:abstractNumId w:val="19"/>
  </w:num>
  <w:num w:numId="43">
    <w:abstractNumId w:val="34"/>
  </w:num>
  <w:num w:numId="44">
    <w:abstractNumId w:val="1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9169DB"/>
    <w:rsid w:val="009B5028"/>
    <w:rsid w:val="00AC091D"/>
    <w:rsid w:val="00AF3CC1"/>
    <w:rsid w:val="00C24A50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1702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2026-02-04T12:39:00Z</dcterms:created>
  <dcterms:modified xsi:type="dcterms:W3CDTF">2026-03-03T17:59:00Z</dcterms:modified>
</cp:coreProperties>
</file>