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NODE.JS / MICROSERVICES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Node.js / Microservices Engineer with 11+ years across cybersecurity, connected mobility, insurance, and learning platforms, delivering Node.js 18-20, TypeScript 4-5, Express and NestJS, PostgreSQL 12-16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Backend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Node.js 18-20, TypeScript 4-5, Express and NestJS, PostgreSQL, Redis, Kafka, AWS, Docker, Kubernetes, distributed services, API design, background jobs, transactional workflows, performance tuning, secure integrations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Security: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gRPC, OpenAPI, OAuth 2.0, OpenID Connect, JWT, RBAC, rate limiting, idempotency, webhooks, service contracts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Node.js 18-20, TypeScript 4-5, Express and NestJS, PostgreSQL, Redis,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secure APIs, distributed services, background workers, reporting workflows, and operational integrations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repeated aggregate queries, oversized payloads, blocking network calls, and inefficient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Node.js Backend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workflow APIs, admin tools, integration endpoints, event consumers, and secure customer-facing capabilities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unit tests, integration tests, contract tests, migration checks, load tests, and service virtualization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Node.js 12-14, TypeScript 3-4, Express and NestJS,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Node.js 8-10, JavaScript ES6, ASP.NET Web API, SQL Server, Redis, REST services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Node.js 4-6 utilities, ASP.NET MVC 5, Web API, MySQL, background jobs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Node.js Distributed API Platform:</w:t>
      </w:r>
      <w:r>
        <w:rPr>
          <w:rFonts w:ascii="Arial" w:hAnsi="Arial" w:eastAsia="Arial"/>
          <w:b w:val="0"/>
          <w:color w:val="111111"/>
          <w:sz w:val="17"/>
        </w:rPr>
        <w:t xml:space="preserve"> Modernized legacy APIs with </w:t>
      </w:r>
      <w:r>
        <w:rPr>
          <w:rFonts w:ascii="Arial" w:hAnsi="Arial" w:eastAsia="Arial"/>
          <w:b/>
          <w:color w:val="111111"/>
          <w:sz w:val="17"/>
        </w:rPr>
        <w:t>Node.js 18-20, TypeScript 4-5, Express and NestJS, PostgreSQL, Redis, Kafka, AWS, Docker, Kubernetes</w:t>
      </w:r>
      <w:r>
        <w:rPr>
          <w:rFonts w:ascii="Arial" w:hAnsi="Arial" w:eastAsia="Arial"/>
          <w:b w:val="0"/>
          <w:color w:val="111111"/>
          <w:sz w:val="17"/>
        </w:rPr>
        <w:t>, secure authentication, schema migrations, asynchronous jobs, and observability dashboards that improved maintainability and release confidence.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TypeScript Event Processing System:</w:t>
      </w:r>
      <w:r>
        <w:rPr>
          <w:rFonts w:ascii="Arial" w:hAnsi="Arial" w:eastAsia="Arial"/>
          <w:b w:val="0"/>
          <w:color w:val="111111"/>
          <w:sz w:val="17"/>
        </w:rPr>
        <w:t xml:space="preserve"> Designed an event-driven workflow platform with durable messaging, idempotent consumers, transactional updates, replay tools, and production runbooks for high-volume business operations.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