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E7A15" w:rsidRDefault="00FE7A15" w:rsidP="00FE7A15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FE7A15" w:rsidRDefault="00FE7A15" w:rsidP="00FE7A15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FE7A15" w:rsidRDefault="00FE7A15" w:rsidP="00FE7A15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A012FD" w:rsidRDefault="00634B75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A012FD" w:rsidRDefault="00634B75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work—let’s connect.</w:t>
      </w:r>
    </w:p>
    <w:p w:rsidR="00A012FD" w:rsidRDefault="00634B75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A012FD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C# and .NET (modern runtime &amp; tooling) for production-grade backend services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ASP.NET Core API design (REST conventions, versioning, pagination, filtering,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&amp; authorization patterns (JWT, OAuth2/OIDC integration, RBAC and policy-based access)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Entity Framework Core (query optimization, tracking strategies, migrations, transactional consistency)</w:t>
            </w:r>
          </w:p>
        </w:tc>
      </w:tr>
      <w:tr w:rsidR="00A012FD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Database design &amp; performance (indexes, query plans, deadlock avoidance, data lifecycle management)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systems fundamentals (timeouts, retries, circuit breakers, bulkheads, backpressure)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processing patterns (scheduled jobs, durable workflows, queue-driven processing)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 (cache-aside, write-through, stampede mitigation, TTL policy and invalidation)</w:t>
            </w:r>
          </w:p>
        </w:tc>
      </w:tr>
      <w:tr w:rsidR="00A012FD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API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(structured logging, correlation IDs, latency breakdowns, error budgets)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Reliability engineering (graceful degradation, safe defaults, chaos-style failure testing)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delivery (input validation, secrets management, least privilege, threat-aware reviews)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Vue.js SPA development (component architecture,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composables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reusable UI patterns)</w:t>
            </w:r>
          </w:p>
        </w:tc>
      </w:tr>
      <w:tr w:rsidR="00A012FD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in frontend codebases (strict typing, API clients, shared contracts, safer refactors)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State management patterns (predictable stores, derived state, side-effect boundaries)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tuning for SPAs (bundle strategy, lazy loading, render hot-spot fixes, caching)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Form-heavy UX (validation strategy,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lookups,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debounced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inputs, accessibility considerations)</w:t>
            </w:r>
          </w:p>
        </w:tc>
      </w:tr>
      <w:tr w:rsidR="00A012FD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integration practices (retry strategy, cancellation, optimistic updates, consistent error UX)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for UI (unit tests for components, integration tests for flows, stable selectors)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Build tooling workflows (fast local iteration, environment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release-safe builds)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Cross-browser behavior and responsive layouts (layout resilience, mobile-first constraints)</w:t>
            </w:r>
          </w:p>
        </w:tc>
      </w:tr>
      <w:tr w:rsidR="00A012FD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application hosting patterns (environment separation, release safety, rollback readiness)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Containerization with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(secure images, multi-stage builds, reproducible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dev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/prod parity)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(quality gates, deterministic builds, artifact promotion, deployment automation)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reliability practices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incident triage, postmortems, SLO-aligned improvements)</w:t>
            </w:r>
          </w:p>
        </w:tc>
      </w:tr>
      <w:tr w:rsidR="00A012FD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Secrets and configuration management (rotation-friendly practices, environment parity, safe overrides)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Monitoring and alerting strategy (signal quality, actionable thresholds, noise reduction)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Cost-aware engineering (right-sizing, cache strategy to reduce compute churn, storage lifecycle policies)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boundaries (maintainable layers, dependency direction discipline, testable design)</w:t>
            </w:r>
          </w:p>
        </w:tc>
      </w:tr>
      <w:tr w:rsidR="00A012FD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that improve outcomes (risk-based review, correctness focus, maintainability coaching)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Mentoring engineers (debugging habits, design thinking, operational ownership, better PR discipline)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plans (measured change, safe migrations, strangler patterns for legacy areas)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Documentation that helps on-call (decision records, operational notes, troubleshooting playbooks)</w:t>
            </w:r>
          </w:p>
        </w:tc>
      </w:tr>
      <w:tr w:rsidR="00A012FD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634B75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 (requirements shaping, acceptance criteria, delivery communication)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A012FD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A012FD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012FD" w:rsidRDefault="00A012FD"/>
        </w:tc>
      </w:tr>
    </w:tbl>
    <w:p w:rsidR="00A012FD" w:rsidRDefault="00A012FD">
      <w:pPr>
        <w:spacing w:after="80"/>
      </w:pPr>
    </w:p>
    <w:p w:rsidR="00D01C14" w:rsidRDefault="00D01C14">
      <w:pPr>
        <w:spacing w:after="80"/>
      </w:pPr>
    </w:p>
    <w:p w:rsidR="00A012FD" w:rsidRDefault="00634B75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EXPERIENCE</w:t>
      </w:r>
    </w:p>
    <w:p w:rsidR="00A012FD" w:rsidRDefault="00634B75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A012FD" w:rsidRDefault="00634B75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A012FD" w:rsidRDefault="00634B75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delivery of multiple .NET services that supported customer-facing workflows, translating ambiguous requests into well-scoped epics with clear acceptance criteria and measurable rollout checks.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implemented versioned ASP.NET Core APIs with consistent pagination, filtering, and idempotent writes, reducing client-side edge cases and stabilizing integrations during high-change releases.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queue-driven background processing with explicit retry rules, poison-message handling, and operational dashboards, which materially reduced after-hours incidents tied to transient dependencies.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Refactored data access layers to eliminate </w:t>
      </w:r>
      <w:proofErr w:type="gramStart"/>
      <w:r>
        <w:rPr>
          <w:rFonts w:ascii="Arial" w:eastAsia="Arial" w:hAnsi="Arial" w:cs="Arial"/>
          <w:color w:val="111111"/>
        </w:rPr>
        <w:t>N+1 patterns</w:t>
      </w:r>
      <w:proofErr w:type="gramEnd"/>
      <w:r>
        <w:rPr>
          <w:rFonts w:ascii="Arial" w:eastAsia="Arial" w:hAnsi="Arial" w:cs="Arial"/>
          <w:color w:val="111111"/>
        </w:rPr>
        <w:t xml:space="preserve"> and expensive scans, adding targeted indexes and query rewrites that improved peak-time latency while keeping business rules readable and testable.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a predictable release process by tightening CI/CD quality gates, adding smoke tests and environment verification steps that caught configuration drift before it reached production endpoints.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by standardizing structured logs, correlation IDs, and actionable alerts, making production debugging faster and enabling reliable incident timelines during customer escalations.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failure paths across downstream calls by introducing timeouts, retries with jitter, and circuit-breaker style protections that prevented cascading failures during partial outages.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Partnered with frontend engineers to align </w:t>
      </w:r>
      <w:proofErr w:type="spellStart"/>
      <w:r>
        <w:rPr>
          <w:rFonts w:ascii="Arial" w:eastAsia="Arial" w:hAnsi="Arial" w:cs="Arial"/>
          <w:color w:val="111111"/>
        </w:rPr>
        <w:t>Vue</w:t>
      </w:r>
      <w:proofErr w:type="spellEnd"/>
      <w:r>
        <w:rPr>
          <w:rFonts w:ascii="Arial" w:eastAsia="Arial" w:hAnsi="Arial" w:cs="Arial"/>
          <w:color w:val="111111"/>
        </w:rPr>
        <w:t xml:space="preserve"> SPA API contracts and error semantics, ensuring the UI could present consistent validation and recovery behavior instead of generic failure states.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security improvements around authorization boundaries and sensitive data handling, including least-privilege access patterns and safer defaults for endpoints exposed to external clients.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performance and regression baselines in critical areas, using repeatable load scenarios and targeted profiling to make performance work a routine practice rather than an emergency response.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incident response follow-through by writing post-incident action items, converting them into prioritized work, and validating that fixes actually reduced alert frequency over subsequent releases.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internal tooling endpoints for operations teams to safely inspect and replay failed jobs with audit trails, reducing the need for direct database intervention during support events.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multi-environment stability by defining configuration standards and sanity checks, preventing mismatched feature toggles and connection settings from causing unpredictable behavior.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Reviewed and mentored across multiple squads, focusing on design clarity, safe migrations, and operational readiness so changes shipped with fewer surprises and faster approval cycles.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Delivered </w:t>
      </w:r>
      <w:proofErr w:type="spellStart"/>
      <w:r>
        <w:rPr>
          <w:rFonts w:ascii="Arial" w:eastAsia="Arial" w:hAnsi="Arial" w:cs="Arial"/>
          <w:color w:val="111111"/>
        </w:rPr>
        <w:t>Vue</w:t>
      </w:r>
      <w:proofErr w:type="spellEnd"/>
      <w:r>
        <w:rPr>
          <w:rFonts w:ascii="Arial" w:eastAsia="Arial" w:hAnsi="Arial" w:cs="Arial"/>
          <w:color w:val="111111"/>
        </w:rPr>
        <w:t>-facing enhancements with pragmatic UI performance considerations, ensuring data-heavy screens remained responsive by coordinating server-side filtering and client-side rendering strategies.</w:t>
      </w:r>
    </w:p>
    <w:p w:rsidR="00A012FD" w:rsidRDefault="00634B75">
      <w:pPr>
        <w:pBdr>
          <w:bottom w:val="dashed" w:sz="4" w:space="0" w:color="CFD2CD"/>
        </w:pBdr>
        <w:spacing w:after="120"/>
      </w:pPr>
      <w:r>
        <w:t xml:space="preserve"> </w:t>
      </w:r>
    </w:p>
    <w:p w:rsidR="00A012FD" w:rsidRDefault="00634B75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A012FD" w:rsidRDefault="00634B75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A012FD" w:rsidRDefault="00634B75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backend features in C# and .NET with an emphasis on correctness, building APIs that were consistent in validation, error responses, and auditability across multiple product areas.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reliability of job-style processing by tightening retry behavior and adding explicit failure classification, which reduced repeated manual reprocessing and made support outcomes predictable.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Collaborated closely with UI teams integrating </w:t>
      </w:r>
      <w:proofErr w:type="spellStart"/>
      <w:r>
        <w:rPr>
          <w:rFonts w:ascii="Arial" w:eastAsia="Arial" w:hAnsi="Arial" w:cs="Arial"/>
          <w:color w:val="111111"/>
        </w:rPr>
        <w:t>Vue</w:t>
      </w:r>
      <w:proofErr w:type="spellEnd"/>
      <w:r>
        <w:rPr>
          <w:rFonts w:ascii="Arial" w:eastAsia="Arial" w:hAnsi="Arial" w:cs="Arial"/>
          <w:color w:val="111111"/>
        </w:rPr>
        <w:t xml:space="preserve"> screens against API endpoints, aligning request/response models so frontend state handling stayed simple and failures were recoverable without refresh loops.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database interactions by removing redundant queries and consolidating writes into transaction-safe units of work, improving throughput under load while preserving business invariants.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release confidence by refining CI steps, ensuring tests and packaging produced deterministic artifacts and that deployments surfaced actionable feedback when environment drift existed.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pragmatic monitoring improvements with structured logging and meaningful metrics, enabling faster root-cause isolation when customers reported latency spikes or intermittent failures.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and documented operational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for recurring production issues, reducing tribal knowledge and enabling faster triage by engineers who were not original feature authors.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across stakeholders to clarify edge-case behavior in business flows, converting vague requirements into testable scenarios that prevented regressions when rules changed mid-sprint.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Applied secure coding practices to integration points by sanitizing inputs and tightening access checks, reducing the risk of unexpected data exposure when requests arrived malformed.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coupling between components by introducing clearer service boundaries and stable contracts, making iterative improvements safer and reducing ripple effects during refactors.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Maintained a steady cadence of reviews and coaching on maintainable design, helping the team standardize patterns around API contracts, error handling, and production-readiness checks.</w:t>
      </w:r>
    </w:p>
    <w:p w:rsidR="00A012FD" w:rsidRDefault="00634B75">
      <w:pPr>
        <w:pBdr>
          <w:bottom w:val="dashed" w:sz="4" w:space="0" w:color="CFD2CD"/>
        </w:pBdr>
        <w:spacing w:after="120"/>
      </w:pPr>
      <w:r>
        <w:t xml:space="preserve"> </w:t>
      </w:r>
    </w:p>
    <w:p w:rsidR="00A012FD" w:rsidRDefault="00634B75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A012FD" w:rsidRDefault="00634B75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A012FD" w:rsidRDefault="00634B75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application features with a focus on stability, carefully integrating changes into existing workflows while keeping backward compatibility for clients with slower upgrade cycles.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extended backend endpoints and supporting logic in a way that enforced consistent validation rules, reducing downstream issues caused by unexpected or malformed input payloads.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Collaborated with frontend development on </w:t>
      </w:r>
      <w:proofErr w:type="spellStart"/>
      <w:r>
        <w:rPr>
          <w:rFonts w:ascii="Arial" w:eastAsia="Arial" w:hAnsi="Arial" w:cs="Arial"/>
          <w:color w:val="111111"/>
        </w:rPr>
        <w:t>Vue</w:t>
      </w:r>
      <w:proofErr w:type="spellEnd"/>
      <w:r>
        <w:rPr>
          <w:rFonts w:ascii="Arial" w:eastAsia="Arial" w:hAnsi="Arial" w:cs="Arial"/>
          <w:color w:val="111111"/>
        </w:rPr>
        <w:t>-based screens and data flows, aligning UI behavior with backend constraints to avoid fragile client-side assumptions and inconsistent error UX.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in data-heavy areas by reducing over-fetching and introducing server-side filtering, which lowered payload sizes and improved page responsiveness for end users.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Added repeatable debugging and logging practices to make production issues reproducible, capturing the right context so fixes could be verified and released with confidence.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iterative delivery with clear communication on risk, scope, and edge cases, which helped stakeholders understand tradeoffs and reduced last-minute requirement churn.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Maintained code quality through thoughtful reviews and incremental refactoring, improving readability and reducing the cost of future changes without destabilizing active development.</w:t>
      </w:r>
    </w:p>
    <w:p w:rsidR="00A012FD" w:rsidRDefault="00634B75">
      <w:pPr>
        <w:pBdr>
          <w:bottom w:val="dashed" w:sz="4" w:space="0" w:color="CFD2CD"/>
        </w:pBdr>
        <w:spacing w:after="120"/>
      </w:pPr>
      <w:r>
        <w:t xml:space="preserve"> </w:t>
      </w:r>
    </w:p>
    <w:p w:rsidR="00A012FD" w:rsidRDefault="00634B75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A012FD" w:rsidRDefault="00634B75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A012FD" w:rsidRDefault="00634B75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and maintenance work by implementing changes carefully, validating behavior against real user workflows, and ensuring updates did not introduce breaking regressions.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in backend improvements by following established patterns for validation and error handling, building habits around predictable behavior that reduced support churn over time.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production support fundamentals by diagnosing defects with clear reproduction steps, communicating impact, and collaborating on fixes that were small, safe, and easy to review.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day-to-day developer efficiency by keeping documentation current and clarifying setup steps, reducing onboarding friction for new contributors and lowering environment mismatch issues.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with senior engineers to break down tasks into incremental deliverables, enabling steady progress while keeping risk low and ensuring changes were testable at each step.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basic automation and build consistency by following disciplined branching and review practices, helping reduce last-minute merge issues before release milestones.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stabilize data-related behavior by validating assumptions at boundaries, ensuring user inputs and stored values stayed consistent across different parts of the application.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teammates to resolve UI-to-backend mismatches, ensuring frontend behavior aligned with server-side rules and reducing confusing edge cases for end users.</w:t>
      </w:r>
    </w:p>
    <w:p w:rsidR="00A012FD" w:rsidRDefault="00634B75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strong ownership habits by following through from bug report to verified fix, including confirming behavior in the target environment and documenting what changed and why.</w:t>
      </w:r>
    </w:p>
    <w:p w:rsidR="00A012FD" w:rsidRDefault="00A012FD">
      <w:pPr>
        <w:spacing w:after="80"/>
      </w:pPr>
    </w:p>
    <w:p w:rsidR="00A012FD" w:rsidRDefault="00634B75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A012FD" w:rsidRDefault="00634B75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A012FD" w:rsidRDefault="00634B75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A012FD" w:rsidRDefault="00634B75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A012FD" w:rsidRDefault="00A012FD">
      <w:pPr>
        <w:spacing w:after="80"/>
      </w:pPr>
    </w:p>
    <w:sectPr w:rsidR="00A012F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5471E6"/>
    <w:multiLevelType w:val="hybridMultilevel"/>
    <w:tmpl w:val="AFF00B62"/>
    <w:lvl w:ilvl="0" w:tplc="344A5B9A">
      <w:start w:val="1"/>
      <w:numFmt w:val="bullet"/>
      <w:lvlText w:val="●"/>
      <w:lvlJc w:val="left"/>
      <w:pPr>
        <w:ind w:left="720" w:hanging="360"/>
      </w:pPr>
    </w:lvl>
    <w:lvl w:ilvl="1" w:tplc="8460E01A">
      <w:start w:val="1"/>
      <w:numFmt w:val="bullet"/>
      <w:lvlText w:val="○"/>
      <w:lvlJc w:val="left"/>
      <w:pPr>
        <w:ind w:left="1440" w:hanging="360"/>
      </w:pPr>
    </w:lvl>
    <w:lvl w:ilvl="2" w:tplc="01A200CC">
      <w:start w:val="1"/>
      <w:numFmt w:val="bullet"/>
      <w:lvlText w:val="■"/>
      <w:lvlJc w:val="left"/>
      <w:pPr>
        <w:ind w:left="2160" w:hanging="360"/>
      </w:pPr>
    </w:lvl>
    <w:lvl w:ilvl="3" w:tplc="F6C4865A">
      <w:start w:val="1"/>
      <w:numFmt w:val="bullet"/>
      <w:lvlText w:val="●"/>
      <w:lvlJc w:val="left"/>
      <w:pPr>
        <w:ind w:left="2880" w:hanging="360"/>
      </w:pPr>
    </w:lvl>
    <w:lvl w:ilvl="4" w:tplc="9BC45E00">
      <w:start w:val="1"/>
      <w:numFmt w:val="bullet"/>
      <w:lvlText w:val="○"/>
      <w:lvlJc w:val="left"/>
      <w:pPr>
        <w:ind w:left="3600" w:hanging="360"/>
      </w:pPr>
    </w:lvl>
    <w:lvl w:ilvl="5" w:tplc="87426D08">
      <w:start w:val="1"/>
      <w:numFmt w:val="bullet"/>
      <w:lvlText w:val="■"/>
      <w:lvlJc w:val="left"/>
      <w:pPr>
        <w:ind w:left="4320" w:hanging="360"/>
      </w:pPr>
    </w:lvl>
    <w:lvl w:ilvl="6" w:tplc="42EA6FF8">
      <w:start w:val="1"/>
      <w:numFmt w:val="bullet"/>
      <w:lvlText w:val="●"/>
      <w:lvlJc w:val="left"/>
      <w:pPr>
        <w:ind w:left="5040" w:hanging="360"/>
      </w:pPr>
    </w:lvl>
    <w:lvl w:ilvl="7" w:tplc="FF1C58C4">
      <w:start w:val="1"/>
      <w:numFmt w:val="bullet"/>
      <w:lvlText w:val="●"/>
      <w:lvlJc w:val="left"/>
      <w:pPr>
        <w:ind w:left="5760" w:hanging="360"/>
      </w:pPr>
    </w:lvl>
    <w:lvl w:ilvl="8" w:tplc="E376A12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A012FD"/>
    <w:rsid w:val="00634B75"/>
    <w:rsid w:val="00A012FD"/>
    <w:rsid w:val="00D01C14"/>
    <w:rsid w:val="00FE7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1900</Words>
  <Characters>10836</Characters>
  <Application>Microsoft Office Word</Application>
  <DocSecurity>0</DocSecurity>
  <Lines>90</Lines>
  <Paragraphs>25</Paragraphs>
  <ScaleCrop>false</ScaleCrop>
  <Company>P R C</Company>
  <LinksUpToDate>false</LinksUpToDate>
  <CharactersWithSpaces>12711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2026-02-15T15:01:00Z</dcterms:created>
  <dcterms:modified xsi:type="dcterms:W3CDTF">2026-02-17T09:11:00Z</dcterms:modified>
</cp:coreProperties>
</file>