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Liberation Sans" w:hAnsi="Liberation Sans"/>
          <w:b/>
          <w:color w:val="142D50"/>
          <w:sz w:val="54"/>
        </w:rPr>
        <w:t>AiTM Detection Research Brief</w:t>
      </w:r>
    </w:p>
    <w:p>
      <w:pPr>
        <w:spacing w:after="160"/>
      </w:pPr>
      <w:r>
        <w:rPr>
          <w:rFonts w:ascii="Liberation Sans" w:hAnsi="Liberation Sans"/>
          <w:b/>
          <w:color w:val="34547E"/>
          <w:sz w:val="28"/>
        </w:rPr>
        <w:t>Low-permission Chrome MV3 signals that survive corporate proxies</w:t>
      </w:r>
    </w:p>
    <w:p>
      <w:pPr>
        <w:pStyle w:val="SmallNote"/>
      </w:pPr>
      <w:r>
        <w:t>Prepared for Qwen agent implementation • Consolidated 2026-08-10 • Includes GTIG/Mandiant watcher update published 2026-08-06</w:t>
      </w:r>
    </w:p>
    <w:tbl>
      <w:tblPr>
        <w:tblW w:type="auto" w:w="0"/>
        <w:jc w:val="center"/>
        <w:tblLayout w:type="autofit"/>
        <w:tblLook w:firstColumn="1" w:firstRow="1" w:lastColumn="0" w:lastRow="0" w:noHBand="0" w:noVBand="1" w:val="04A0"/>
        <w:tblBorders>
          <w:top w:val="single" w:sz="8" w:color="9CBCEB"/>
          <w:left w:val="single" w:sz="8" w:color="9CBCEB"/>
          <w:bottom w:val="single" w:sz="8" w:color="9CBCEB"/>
          <w:right w:val="single" w:sz="8" w:color="9CBCEB"/>
          <w:insideH w:val="single" w:sz="8" w:color="9CBCEB"/>
          <w:insideV w:val="single" w:sz="8" w:color="9CBCEB"/>
        </w:tblBorders>
      </w:tblPr>
      <w:tblGrid>
        <w:gridCol w:w="9638"/>
      </w:tblGrid>
      <w:tr>
        <w:tc>
          <w:tcPr>
            <w:tcW w:type="dxa" w:w="9638"/>
            <w:shd w:fill="EAF2FF"/>
            <w:tcMar>
              <w:top w:w="130" w:type="dxa"/>
              <w:start w:w="160" w:type="dxa"/>
              <w:bottom w:w="130" w:type="dxa"/>
              <w:end w:w="160" w:type="dxa"/>
            </w:tcMar>
          </w:tcPr>
          <w:p>
            <w:r>
              <w:rPr>
                <w:b/>
                <w:color w:val="143A70"/>
              </w:rPr>
              <w:t xml:space="preserve">Primary design directive:  </w:t>
            </w:r>
            <w:r>
              <w:t>Detect identity/security-sensitive interaction on an unrelated browser origin. Do not try to detect “a proxy exists.” Enterprise secure web gateways legitimately terminate TLS and may rewrite traffic, so generic interception evidence is not a safe malicious-AiTM signal.</w:t>
            </w:r>
          </w:p>
        </w:tc>
      </w:tr>
    </w:tbl>
    <w:p>
      <w:pPr>
        <w:spacing w:after="0"/>
      </w:pPr>
    </w:p>
    <w:p>
      <w:pPr>
        <w:pStyle w:val="Heading1"/>
        <w:keepNext/>
      </w:pPr>
      <w:r>
        <w:t>1. Executive conclusions</w:t>
      </w:r>
    </w:p>
    <w:p>
      <w:pPr>
        <w:pStyle w:val="ListBullet"/>
        <w:spacing w:after="60"/>
      </w:pPr>
      <w:r>
        <w:t>The core detector should score identity/security interaction against origin integrity: login, password, OTP, MFA approval, device-code authorization, passkey enrollment, security-key setup, SSO setup, MFA migration, and helpdesk-driven security enrollment all belong to the same semantic family.</w:t>
      </w:r>
      <w:r>
        <w:rPr>
          <w:color w:val="5A6473"/>
          <w:sz w:val="17"/>
        </w:rPr>
        <w:t xml:space="preserve"> [R1][R2][R3]</w:t>
      </w:r>
    </w:p>
    <w:p>
      <w:pPr>
        <w:pStyle w:val="ListBullet"/>
        <w:spacing w:after="60"/>
      </w:pPr>
      <w:r>
        <w:t>The strongest second signal is reverse-proxy resource-origin graph distortion: resource URLs, forms, scripts, styles, manifests, favicons, iframes, and navigation targets that are unexpectedly collapsed under or translated through the suspicious eTLD+1.</w:t>
      </w:r>
      <w:r>
        <w:rPr>
          <w:color w:val="5A6473"/>
          <w:sz w:val="17"/>
        </w:rPr>
        <w:t xml:space="preserve"> [R4][R5][R6]</w:t>
      </w:r>
    </w:p>
    <w:p>
      <w:pPr>
        <w:pStyle w:val="ListBullet"/>
        <w:spacing w:after="60"/>
      </w:pPr>
      <w:r>
        <w:t>Certificate issuer/TLS interception, generic header changes, proxy presence, and a single missing CSP/HSTS/favicon/manifest must not generate a high-confidence alert. Zscaler, Cloudflare Gateway, Netskope and clientless ZTNA can legitimately create the same artifacts.</w:t>
      </w:r>
      <w:r>
        <w:rPr>
          <w:color w:val="5A6473"/>
          <w:sz w:val="17"/>
        </w:rPr>
        <w:t xml:space="preserve"> [R11][R12][R13][R14][R15]</w:t>
      </w:r>
    </w:p>
    <w:p>
      <w:pPr>
        <w:pStyle w:val="ListBullet"/>
        <w:spacing w:after="60"/>
      </w:pPr>
      <w:r>
        <w:t>MV3 can do the highest-value DOM/origin detection with activeTab + scripting in user-triggered mode. webRequest remains available for passive observation in MV3 but requires the webRequest permission plus applicable host access. DNR can match response headers declaratively but is not a raw response-header telemetry API.</w:t>
      </w:r>
      <w:r>
        <w:rPr>
          <w:color w:val="5A6473"/>
          <w:sz w:val="17"/>
        </w:rPr>
        <w:t xml:space="preserve"> [R8][R9][R10]</w:t>
      </w:r>
    </w:p>
    <w:p>
      <w:pPr>
        <w:pStyle w:val="ListBullet"/>
        <w:spacing w:after="60"/>
      </w:pPr>
      <w:r>
        <w:t>Server-side controls such as WebAuthn/FIDO2 origin binding, token protection, CAE, managed-device requirements, and device-bound browser sessions are the durable mitigation layer. The extension still has real value as a pre-authentication warning system, especially before credentials/MFA/device-code consent is handed to the attacker.</w:t>
      </w:r>
      <w:r>
        <w:rPr>
          <w:color w:val="5A6473"/>
          <w:sz w:val="17"/>
        </w:rPr>
        <w:t xml:space="preserve"> [R1][R16][R17][R18]</w:t>
      </w:r>
    </w:p>
    <w:p>
      <w:pPr>
        <w:pStyle w:val="Heading1"/>
        <w:keepNext/>
      </w:pPr>
      <w:r>
        <w:t>2. Ranked signal set</w:t>
      </w:r>
    </w:p>
    <w:p>
      <w:r>
        <w:t>Use only these signals as the initial production scoring surface. Signal 4 is corroboration, not a primary detector.</w:t>
      </w:r>
    </w:p>
    <w:tbl>
      <w:tblPr>
        <w:tblW w:type="auto" w:w="0"/>
        <w:jc w:val="center"/>
        <w:tblLayout w:type="fixed"/>
        <w:tblLook w:firstColumn="1" w:firstRow="1" w:lastColumn="0" w:lastRow="0" w:noHBand="0" w:noVBand="1" w:val="04A0"/>
        <w:tblBorders>
          <w:top w:val="single" w:sz="6" w:color="D1D9E6"/>
          <w:left w:val="single" w:sz="6" w:color="D1D9E6"/>
          <w:bottom w:val="single" w:sz="6" w:color="D1D9E6"/>
          <w:right w:val="single" w:sz="6" w:color="D1D9E6"/>
          <w:insideH w:val="single" w:sz="6" w:color="D1D9E6"/>
          <w:insideV w:val="single" w:sz="6" w:color="D1D9E6"/>
        </w:tblBorders>
      </w:tblPr>
      <w:tblGrid>
        <w:gridCol w:w="2409"/>
        <w:gridCol w:w="2409"/>
        <w:gridCol w:w="2409"/>
        <w:gridCol w:w="2409"/>
      </w:tblGrid>
      <w:tr>
        <w:trPr>
          <w:tblHeader w:val="true"/>
        </w:trPr>
        <w:tc>
          <w:tcPr>
            <w:tcW w:type="dxa" w:w="567"/>
            <w:shd w:fill="173A70"/>
            <w:tcMar>
              <w:top w:w="90" w:type="dxa"/>
              <w:start w:w="90" w:type="dxa"/>
              <w:bottom w:w="90" w:type="dxa"/>
              <w:end w:w="90" w:type="dxa"/>
            </w:tcMar>
          </w:tcPr>
          <w:p>
            <w:r>
              <w:rPr>
                <w:b/>
                <w:color w:val="FFFFFF"/>
                <w:sz w:val="18"/>
              </w:rPr>
              <w:t>Rank</w:t>
            </w:r>
          </w:p>
        </w:tc>
        <w:tc>
          <w:tcPr>
            <w:tcW w:type="dxa" w:w="2835"/>
            <w:shd w:fill="173A70"/>
            <w:tcMar>
              <w:top w:w="90" w:type="dxa"/>
              <w:start w:w="90" w:type="dxa"/>
              <w:bottom w:w="90" w:type="dxa"/>
              <w:end w:w="90" w:type="dxa"/>
            </w:tcMar>
          </w:tcPr>
          <w:p>
            <w:r>
              <w:rPr>
                <w:b/>
                <w:color w:val="FFFFFF"/>
                <w:sz w:val="18"/>
              </w:rPr>
              <w:t>Signal</w:t>
            </w:r>
          </w:p>
        </w:tc>
        <w:tc>
          <w:tcPr>
            <w:tcW w:type="dxa" w:w="3515"/>
            <w:shd w:fill="173A70"/>
            <w:tcMar>
              <w:top w:w="90" w:type="dxa"/>
              <w:start w:w="90" w:type="dxa"/>
              <w:bottom w:w="90" w:type="dxa"/>
              <w:end w:w="90" w:type="dxa"/>
            </w:tcMar>
          </w:tcPr>
          <w:p>
            <w:r>
              <w:rPr>
                <w:b/>
                <w:color w:val="FFFFFF"/>
                <w:sz w:val="18"/>
              </w:rPr>
              <w:t>FP profile</w:t>
            </w:r>
          </w:p>
        </w:tc>
        <w:tc>
          <w:tcPr>
            <w:tcW w:type="dxa" w:w="2381"/>
            <w:shd w:fill="173A70"/>
            <w:tcMar>
              <w:top w:w="90" w:type="dxa"/>
              <w:start w:w="90" w:type="dxa"/>
              <w:bottom w:w="90" w:type="dxa"/>
              <w:end w:w="90" w:type="dxa"/>
            </w:tcMar>
          </w:tcPr>
          <w:p>
            <w:r>
              <w:rPr>
                <w:b/>
                <w:color w:val="FFFFFF"/>
                <w:sz w:val="18"/>
              </w:rPr>
              <w:t>Permission cost</w:t>
            </w:r>
          </w:p>
        </w:tc>
      </w:tr>
      <w:tr>
        <w:tc>
          <w:tcPr>
            <w:tcW w:type="dxa" w:w="567"/>
            <w:tcMar>
              <w:top w:w="85" w:type="dxa"/>
              <w:start w:w="85" w:type="dxa"/>
              <w:bottom w:w="85" w:type="dxa"/>
              <w:end w:w="85" w:type="dxa"/>
            </w:tcMar>
            <w:vAlign w:val="top"/>
          </w:tcPr>
          <w:p>
            <w:pPr>
              <w:spacing w:after="20"/>
            </w:pPr>
            <w:r>
              <w:rPr>
                <w:b/>
                <w:sz w:val="18"/>
              </w:rPr>
              <w:t>1</w:t>
            </w:r>
          </w:p>
        </w:tc>
        <w:tc>
          <w:tcPr>
            <w:tcW w:type="dxa" w:w="2835"/>
            <w:tcMar>
              <w:top w:w="85" w:type="dxa"/>
              <w:start w:w="85" w:type="dxa"/>
              <w:bottom w:w="85" w:type="dxa"/>
              <w:end w:w="85" w:type="dxa"/>
            </w:tcMar>
            <w:vAlign w:val="top"/>
          </w:tcPr>
          <w:p>
            <w:pPr>
              <w:spacing w:after="20"/>
            </w:pPr>
            <w:r>
              <w:rPr>
                <w:b w:val="0"/>
                <w:sz w:val="16"/>
              </w:rPr>
              <w:t>Identity-security interaction on unrelated origin</w:t>
            </w:r>
          </w:p>
        </w:tc>
        <w:tc>
          <w:tcPr>
            <w:tcW w:type="dxa" w:w="3515"/>
            <w:tcMar>
              <w:top w:w="85" w:type="dxa"/>
              <w:start w:w="85" w:type="dxa"/>
              <w:bottom w:w="85" w:type="dxa"/>
              <w:end w:w="85" w:type="dxa"/>
            </w:tcMar>
            <w:vAlign w:val="top"/>
          </w:tcPr>
          <w:p>
            <w:pPr>
              <w:spacing w:after="20"/>
            </w:pPr>
            <w:r>
              <w:rPr>
                <w:b w:val="0"/>
                <w:sz w:val="16"/>
              </w:rPr>
              <w:t>Low after legitimate IdP/tenant/ZTNA wrapper allowlisting. Require interactive/auth-sensitive semantics, not keywords alone.</w:t>
            </w:r>
          </w:p>
        </w:tc>
        <w:tc>
          <w:tcPr>
            <w:tcW w:type="dxa" w:w="2381"/>
            <w:tcMar>
              <w:top w:w="85" w:type="dxa"/>
              <w:start w:w="85" w:type="dxa"/>
              <w:bottom w:w="85" w:type="dxa"/>
              <w:end w:w="85" w:type="dxa"/>
            </w:tcMar>
            <w:vAlign w:val="top"/>
          </w:tcPr>
          <w:p>
            <w:pPr>
              <w:spacing w:after="20"/>
            </w:pPr>
            <w:r>
              <w:rPr>
                <w:b w:val="0"/>
                <w:sz w:val="16"/>
              </w:rPr>
              <w:t>Very low: activeTab + scripting for on-demand checks.</w:t>
            </w:r>
          </w:p>
        </w:tc>
      </w:tr>
      <w:tr>
        <w:tc>
          <w:tcPr>
            <w:tcW w:type="dxa" w:w="567"/>
            <w:tcMar>
              <w:top w:w="85" w:type="dxa"/>
              <w:start w:w="85" w:type="dxa"/>
              <w:bottom w:w="85" w:type="dxa"/>
              <w:end w:w="85" w:type="dxa"/>
            </w:tcMar>
            <w:vAlign w:val="top"/>
          </w:tcPr>
          <w:p>
            <w:pPr>
              <w:spacing w:after="20"/>
            </w:pPr>
            <w:r>
              <w:rPr>
                <w:b/>
                <w:sz w:val="18"/>
              </w:rPr>
              <w:t>2</w:t>
            </w:r>
          </w:p>
        </w:tc>
        <w:tc>
          <w:tcPr>
            <w:tcW w:type="dxa" w:w="2835"/>
            <w:tcMar>
              <w:top w:w="85" w:type="dxa"/>
              <w:start w:w="85" w:type="dxa"/>
              <w:bottom w:w="85" w:type="dxa"/>
              <w:end w:w="85" w:type="dxa"/>
            </w:tcMar>
            <w:vAlign w:val="top"/>
          </w:tcPr>
          <w:p>
            <w:pPr>
              <w:spacing w:after="20"/>
            </w:pPr>
            <w:r>
              <w:rPr>
                <w:b w:val="0"/>
                <w:sz w:val="16"/>
              </w:rPr>
              <w:t>Reverse-proxy resource-origin graph anomaly</w:t>
            </w:r>
          </w:p>
        </w:tc>
        <w:tc>
          <w:tcPr>
            <w:tcW w:type="dxa" w:w="3515"/>
            <w:tcMar>
              <w:top w:w="85" w:type="dxa"/>
              <w:start w:w="85" w:type="dxa"/>
              <w:bottom w:w="85" w:type="dxa"/>
              <w:end w:w="85" w:type="dxa"/>
            </w:tcMar>
            <w:vAlign w:val="top"/>
          </w:tcPr>
          <w:p>
            <w:pPr>
              <w:spacing w:after="20"/>
            </w:pPr>
            <w:r>
              <w:rPr>
                <w:b w:val="0"/>
                <w:sz w:val="16"/>
              </w:rPr>
              <w:t>Low-medium. Forward TLS inspection usually leaves page URLs intact; clientless/reverse-proxy ZTNA may rewrite some URLs and must be recognized.</w:t>
            </w:r>
          </w:p>
        </w:tc>
        <w:tc>
          <w:tcPr>
            <w:tcW w:type="dxa" w:w="2381"/>
            <w:tcMar>
              <w:top w:w="85" w:type="dxa"/>
              <w:start w:w="85" w:type="dxa"/>
              <w:bottom w:w="85" w:type="dxa"/>
              <w:end w:w="85" w:type="dxa"/>
            </w:tcMar>
            <w:vAlign w:val="top"/>
          </w:tcPr>
          <w:p>
            <w:pPr>
              <w:spacing w:after="20"/>
            </w:pPr>
            <w:r>
              <w:rPr>
                <w:b w:val="0"/>
                <w:sz w:val="16"/>
              </w:rPr>
              <w:t>Very low for DOM/performance graph. No webRequest needed.</w:t>
            </w:r>
          </w:p>
        </w:tc>
      </w:tr>
      <w:tr>
        <w:tc>
          <w:tcPr>
            <w:tcW w:type="dxa" w:w="567"/>
            <w:tcMar>
              <w:top w:w="85" w:type="dxa"/>
              <w:start w:w="85" w:type="dxa"/>
              <w:bottom w:w="85" w:type="dxa"/>
              <w:end w:w="85" w:type="dxa"/>
            </w:tcMar>
            <w:vAlign w:val="top"/>
          </w:tcPr>
          <w:p>
            <w:pPr>
              <w:spacing w:after="20"/>
            </w:pPr>
            <w:r>
              <w:rPr>
                <w:b/>
                <w:sz w:val="18"/>
              </w:rPr>
              <w:t>3</w:t>
            </w:r>
          </w:p>
        </w:tc>
        <w:tc>
          <w:tcPr>
            <w:tcW w:type="dxa" w:w="2835"/>
            <w:tcMar>
              <w:top w:w="85" w:type="dxa"/>
              <w:start w:w="85" w:type="dxa"/>
              <w:bottom w:w="85" w:type="dxa"/>
              <w:end w:w="85" w:type="dxa"/>
            </w:tcMar>
            <w:vAlign w:val="top"/>
          </w:tcPr>
          <w:p>
            <w:pPr>
              <w:spacing w:after="20"/>
            </w:pPr>
            <w:r>
              <w:rPr>
                <w:b w:val="0"/>
                <w:sz w:val="16"/>
              </w:rPr>
              <w:t>Auth-flow continuity / device-code bridge</w:t>
            </w:r>
          </w:p>
        </w:tc>
        <w:tc>
          <w:tcPr>
            <w:tcW w:type="dxa" w:w="3515"/>
            <w:tcMar>
              <w:top w:w="85" w:type="dxa"/>
              <w:start w:w="85" w:type="dxa"/>
              <w:bottom w:w="85" w:type="dxa"/>
              <w:end w:w="85" w:type="dxa"/>
            </w:tcMar>
            <w:vAlign w:val="top"/>
          </w:tcPr>
          <w:p>
            <w:pPr>
              <w:spacing w:after="20"/>
            </w:pPr>
            <w:r>
              <w:rPr>
                <w:b w:val="0"/>
                <w:sz w:val="16"/>
              </w:rPr>
              <w:t>Low when gated by identity semantics + unrelated origin. Legitimate device activation exists, so device-code URL alone is insufficient.</w:t>
            </w:r>
          </w:p>
        </w:tc>
        <w:tc>
          <w:tcPr>
            <w:tcW w:type="dxa" w:w="2381"/>
            <w:tcMar>
              <w:top w:w="85" w:type="dxa"/>
              <w:start w:w="85" w:type="dxa"/>
              <w:bottom w:w="85" w:type="dxa"/>
              <w:end w:w="85" w:type="dxa"/>
            </w:tcMar>
            <w:vAlign w:val="top"/>
          </w:tcPr>
          <w:p>
            <w:pPr>
              <w:spacing w:after="20"/>
            </w:pPr>
            <w:r>
              <w:rPr>
                <w:b w:val="0"/>
                <w:sz w:val="16"/>
              </w:rPr>
              <w:t>Low for current page; cross-origin automatic continuity requires granted host access.</w:t>
            </w:r>
          </w:p>
        </w:tc>
      </w:tr>
      <w:tr>
        <w:tc>
          <w:tcPr>
            <w:tcW w:type="dxa" w:w="567"/>
            <w:tcMar>
              <w:top w:w="85" w:type="dxa"/>
              <w:start w:w="85" w:type="dxa"/>
              <w:bottom w:w="85" w:type="dxa"/>
              <w:end w:w="85" w:type="dxa"/>
            </w:tcMar>
            <w:vAlign w:val="top"/>
          </w:tcPr>
          <w:p>
            <w:pPr>
              <w:spacing w:after="20"/>
            </w:pPr>
            <w:r>
              <w:rPr>
                <w:b/>
                <w:sz w:val="18"/>
              </w:rPr>
              <w:t>4</w:t>
            </w:r>
          </w:p>
        </w:tc>
        <w:tc>
          <w:tcPr>
            <w:tcW w:type="dxa" w:w="2835"/>
            <w:tcMar>
              <w:top w:w="85" w:type="dxa"/>
              <w:start w:w="85" w:type="dxa"/>
              <w:bottom w:w="85" w:type="dxa"/>
              <w:end w:w="85" w:type="dxa"/>
            </w:tcMar>
            <w:vAlign w:val="top"/>
          </w:tcPr>
          <w:p>
            <w:pPr>
              <w:spacing w:after="20"/>
            </w:pPr>
            <w:r>
              <w:rPr>
                <w:b w:val="0"/>
                <w:sz w:val="16"/>
              </w:rPr>
              <w:t>Multi-artifact integrity drift (CSP/HSTS/favicon/manifest/scripts)</w:t>
            </w:r>
          </w:p>
        </w:tc>
        <w:tc>
          <w:tcPr>
            <w:tcW w:type="dxa" w:w="3515"/>
            <w:tcMar>
              <w:top w:w="85" w:type="dxa"/>
              <w:start w:w="85" w:type="dxa"/>
              <w:bottom w:w="85" w:type="dxa"/>
              <w:end w:w="85" w:type="dxa"/>
            </w:tcMar>
            <w:vAlign w:val="top"/>
          </w:tcPr>
          <w:p>
            <w:pPr>
              <w:spacing w:after="20"/>
            </w:pPr>
            <w:r>
              <w:rPr>
                <w:b w:val="0"/>
                <w:sz w:val="16"/>
              </w:rPr>
              <w:t>Medium-high alone. Browsers, CDNs, A/B tests, extensions and gateways can alter these. Use only as confidence boost.</w:t>
            </w:r>
          </w:p>
        </w:tc>
        <w:tc>
          <w:tcPr>
            <w:tcW w:type="dxa" w:w="2381"/>
            <w:tcMar>
              <w:top w:w="85" w:type="dxa"/>
              <w:start w:w="85" w:type="dxa"/>
              <w:bottom w:w="85" w:type="dxa"/>
              <w:end w:w="85" w:type="dxa"/>
            </w:tcMar>
            <w:vAlign w:val="top"/>
          </w:tcPr>
          <w:p>
            <w:pPr>
              <w:spacing w:after="20"/>
            </w:pPr>
            <w:r>
              <w:rPr>
                <w:b w:val="0"/>
                <w:sz w:val="16"/>
              </w:rPr>
              <w:t>Low for DOM assets; medium/high for response headers because webRequest + host access is needed.</w:t>
            </w:r>
          </w:p>
        </w:tc>
      </w:tr>
    </w:tbl>
    <w:p>
      <w:pPr>
        <w:pStyle w:val="Heading1"/>
        <w:keepNext/>
      </w:pPr>
      <w:r>
        <w:t>3. Signal #1 - Identity-security interaction on an unrelated origin</w:t>
      </w:r>
    </w:p>
    <w:p>
      <w:r>
        <w:t>Highest-value signal. This is the generalization that survives kit churn and the August 2026 passkey-enrollment campaign.</w:t>
      </w:r>
      <w:r>
        <w:rPr>
          <w:color w:val="5A6473"/>
        </w:rPr>
        <w:t xml:space="preserve"> [R1][R8]</w:t>
      </w:r>
    </w:p>
    <w:p>
      <w:pPr>
        <w:spacing w:after="100"/>
      </w:pPr>
      <w:r>
        <w:rPr>
          <w:b/>
          <w:color w:val="20497D"/>
        </w:rPr>
        <w:t xml:space="preserve">Observe: </w:t>
      </w:r>
      <w:r>
        <w:t>From the current page, derive the top-level origin/eTLD+1 and detect security-sensitive interaction states from visible/accessible DOM: username/password fields; OTP and one-time-code fields; MFA approval or number-matching instructions; device-code authorization instructions; passkey/FIDO2/security-key enrollment; MFA migration; SSO setup; QR-based authentication setup; “helpdesk security upgrade/migration” flows; and action buttons/forms that submit authentication or enrollment data.</w:t>
      </w:r>
    </w:p>
    <w:p>
      <w:pPr>
        <w:spacing w:after="100"/>
      </w:pPr>
      <w:r>
        <w:rPr>
          <w:b/>
          <w:color w:val="20497D"/>
        </w:rPr>
        <w:t xml:space="preserve">Correlate identity: </w:t>
      </w:r>
      <w:r>
        <w:t>Infer the claimed IdP/brand/tenant from text, logos/accessible labels, form labels, link targets, known IdP UI structure, and user/enterprise configuration. Compare the claimed identity to the top-level origin and approved federation/tenant domains.</w:t>
      </w:r>
    </w:p>
    <w:p>
      <w:pPr>
        <w:spacing w:after="100"/>
      </w:pPr>
      <w:r>
        <w:rPr>
          <w:b/>
          <w:color w:val="20497D"/>
        </w:rPr>
        <w:t xml:space="preserve">2026 delta: </w:t>
      </w:r>
      <w:r>
        <w:t>GTIG observed UNC6671 using urgent helpdesk calls that direct employees to organization-specific subdomains on generic roots such as createssopasskey[.]com and addssopasskey[.]com. Root domains combine passkey/MFA/SSO vocabulary with setup/enrollment verbs, while the victim organization is placed in the subdomain. The same phishing templates were reused across multiple domains and extortion brands. Therefore passkey/security-enrollment semantics must be part of the core signal, but passkey/mfa/sso strings in a hostname must never be a standalone warning.</w:t>
      </w:r>
    </w:p>
    <w:p>
      <w:pPr>
        <w:spacing w:after="100"/>
      </w:pPr>
      <w:r>
        <w:rPr>
          <w:b/>
          <w:color w:val="20497D"/>
        </w:rPr>
        <w:t xml:space="preserve">False positives: </w:t>
      </w:r>
      <w:r>
        <w:t>Low if the classifier requires interaction + claimed identity + origin mismatch. Security documentation pages often mention passkeys without asking the user to enroll or disclose anything; do not score them as equivalent to an active registration/sign-in flow. Explicitly allowlist enterprise-owned IdP aliases and clientless ZTNA/browser-access hostnames.</w:t>
      </w:r>
    </w:p>
    <w:p>
      <w:pPr>
        <w:spacing w:after="100"/>
      </w:pPr>
      <w:r>
        <w:rPr>
          <w:b/>
          <w:color w:val="20497D"/>
        </w:rPr>
        <w:t xml:space="preserve">Permission cost: </w:t>
      </w:r>
      <w:r>
        <w:t>On-demand: activeTab + scripting. Automatic all-site coverage cannot avoid obtaining host access for the sites it analyzes; prefer optional host permissions and request them narrowly at runtime.</w:t>
      </w:r>
    </w:p>
    <w:p>
      <w:pPr>
        <w:spacing w:after="100"/>
      </w:pPr>
      <w:r>
        <w:rPr>
          <w:b/>
          <w:color w:val="20497D"/>
        </w:rPr>
        <w:t xml:space="preserve">Score role: </w:t>
      </w:r>
      <w:r>
        <w:t>Primary. A strong mismatch can contribute most of the risk score, but high-confidence blocking should preferably require one additional independent signal such as resource-graph distortion or suspicious flow continuity.</w:t>
      </w:r>
    </w:p>
    <w:p>
      <w:pPr>
        <w:pStyle w:val="Heading1"/>
        <w:keepNext/>
      </w:pPr>
      <w:r>
        <w:t>4. Signal #2 - Reverse-proxy resource-origin graph anomaly</w:t>
      </w:r>
    </w:p>
    <w:p>
      <w:r>
        <w:t>Detect structural consequences of translating a real authentication application through an attacker-controlled origin instead of looking for a kit fingerprint.</w:t>
      </w:r>
      <w:r>
        <w:rPr>
          <w:color w:val="5A6473"/>
        </w:rPr>
        <w:t xml:space="preserve"> [R4][R6][R7][R9][R14]</w:t>
      </w:r>
    </w:p>
    <w:p>
      <w:pPr>
        <w:spacing w:after="100"/>
      </w:pPr>
      <w:r>
        <w:rPr>
          <w:b/>
          <w:color w:val="20497D"/>
        </w:rPr>
        <w:t xml:space="preserve">Observe: </w:t>
      </w:r>
      <w:r>
        <w:t>Build a resource graph from script[src], link[href] (stylesheets, icons, manifest, canonical, preconnect), img/src and srcset, iframe/src, form[action], anchor targets relevant to authentication, and PerformanceResourceTiming entries. Normalize to origin/eTLD+1 and classify first-party vs expected brand/CDN/IdP origins.</w:t>
      </w:r>
    </w:p>
    <w:p>
      <w:pPr>
        <w:spacing w:after="100"/>
      </w:pPr>
      <w:r>
        <w:rPr>
          <w:b/>
          <w:color w:val="20497D"/>
        </w:rPr>
        <w:t xml:space="preserve">What is suspicious: </w:t>
      </w:r>
      <w:r>
        <w:t>Several resources that a legitimate profile normally serves from distinct IdP/brand/CDN origins become paths/subdomains beneath the suspicious eTLD+1; partial translation causes the real origin and phishing origin to coexist inconsistently; forms or auth-related links post/navigation-hop through a domain unrelated to the claimed identity; known baseline resources repeatedly fail or disappear together.</w:t>
      </w:r>
    </w:p>
    <w:p>
      <w:pPr>
        <w:spacing w:after="100"/>
      </w:pPr>
      <w:r>
        <w:rPr>
          <w:b/>
          <w:color w:val="20497D"/>
        </w:rPr>
        <w:t xml:space="preserve">Why it is durable: </w:t>
      </w:r>
      <w:r>
        <w:t>Evilginx supports sub-filters, content replacement, JavaScript injection, intercepted responses, and changes intended to make on-the-fly replacement/injection more reliable. Mandiant describes browser-in-the-middle proxies modifying responses by replacing legitimate-domain references with phishing-domain references. These mechanics create graph-level pressure even when exact strings, scripts, and templates change.</w:t>
      </w:r>
    </w:p>
    <w:p>
      <w:pPr>
        <w:spacing w:after="100"/>
      </w:pPr>
      <w:r>
        <w:rPr>
          <w:b/>
          <w:color w:val="20497D"/>
        </w:rPr>
        <w:t xml:space="preserve">False positives: </w:t>
      </w:r>
      <w:r>
        <w:t>Ordinary forward TLS inspection should not rewrite the application’s HTML URL graph. However, clientless/reverse-proxy ZTNA can rewrite redirects and expose a wrapper hostname. Netskope Browser Access is a concrete example. Treat known enterprise mediation domains as a separate trusted class rather than trying to infer “malicious proxy” from rewriting alone.</w:t>
      </w:r>
    </w:p>
    <w:p>
      <w:pPr>
        <w:spacing w:after="100"/>
      </w:pPr>
      <w:r>
        <w:rPr>
          <w:b/>
          <w:color w:val="20497D"/>
        </w:rPr>
        <w:t xml:space="preserve">Permission cost: </w:t>
      </w:r>
      <w:r>
        <w:t>DOM and Performance APIs can be inspected in the page using activeTab + scripting. Reading third-party subresource response headers through webRequest is materially more permission-expensive because Chrome requires host access to the requested URL and initiator.</w:t>
      </w:r>
    </w:p>
    <w:p>
      <w:pPr>
        <w:spacing w:after="100"/>
      </w:pPr>
      <w:r>
        <w:rPr>
          <w:b/>
          <w:color w:val="20497D"/>
        </w:rPr>
        <w:t xml:space="preserve">Score role: </w:t>
      </w:r>
      <w:r>
        <w:t>Primary corroborator to Signal #1. Prefer multiple independent graph anomalies over one missing asset.</w:t>
      </w:r>
    </w:p>
    <w:p>
      <w:pPr>
        <w:pStyle w:val="Heading1"/>
        <w:keepNext/>
      </w:pPr>
      <w:r>
        <w:t>5. Signal #3 - Authentication-flow continuity and device-code bridge</w:t>
      </w:r>
    </w:p>
    <w:p>
      <w:r>
        <w:t>Model the user journey, not just a page snapshot.</w:t>
      </w:r>
      <w:r>
        <w:rPr>
          <w:color w:val="5A6473"/>
        </w:rPr>
        <w:t xml:space="preserve"> [R3][R8][R19]</w:t>
      </w:r>
    </w:p>
    <w:p>
      <w:pPr>
        <w:spacing w:after="100"/>
      </w:pPr>
      <w:r>
        <w:rPr>
          <w:b/>
          <w:color w:val="20497D"/>
        </w:rPr>
        <w:t xml:space="preserve">Observe: </w:t>
      </w:r>
      <w:r>
        <w:t>Detect transitions such as branded login -&gt; password -&gt; OTP/MFA -&gt; consent/enrollment on an unrelated origin, or an untrusted page that generates/displays a device code and instructs the user to continue authentication at a genuine IdP/device-login endpoint.</w:t>
      </w:r>
    </w:p>
    <w:p>
      <w:pPr>
        <w:spacing w:after="100"/>
      </w:pPr>
      <w:r>
        <w:rPr>
          <w:b/>
          <w:color w:val="20497D"/>
        </w:rPr>
        <w:t xml:space="preserve">Why it matters in 2026: </w:t>
      </w:r>
      <w:r>
        <w:t>Proofpoint reports rapid growth in device-code phishing frameworks/PhaaS, and Microsoft documented AI-enabled campaigns generating device codes at interaction time to avoid expiration. Device-code phishing can move the sensitive authentication step onto a legitimate IdP page, so the malicious landing page may contain no password form at all.</w:t>
      </w:r>
    </w:p>
    <w:p>
      <w:pPr>
        <w:spacing w:after="100"/>
      </w:pPr>
      <w:r>
        <w:rPr>
          <w:b/>
          <w:color w:val="20497D"/>
        </w:rPr>
        <w:t xml:space="preserve">False positives: </w:t>
      </w:r>
      <w:r>
        <w:t>Legitimate device activation flows exist. Do not flag a device-login URL by itself. Require an unrelated initiating origin plus identity/security-sensitive instructions, code presentation/transfer, urgency or enrollment semantics, and/or suspicious claimed-brand context.</w:t>
      </w:r>
    </w:p>
    <w:p>
      <w:pPr>
        <w:spacing w:after="100"/>
      </w:pPr>
      <w:r>
        <w:rPr>
          <w:b/>
          <w:color w:val="20497D"/>
        </w:rPr>
        <w:t xml:space="preserve">Permission cost: </w:t>
      </w:r>
      <w:r>
        <w:t>Current page: activeTab + scripting. activeTab is revoked when navigation leaves the granted origin; automatic cross-origin continuity therefore needs optional/persistent host access for the relevant origins or a user-triggered re-grant.</w:t>
      </w:r>
    </w:p>
    <w:p>
      <w:pPr>
        <w:spacing w:after="100"/>
      </w:pPr>
      <w:r>
        <w:rPr>
          <w:b/>
          <w:color w:val="20497D"/>
        </w:rPr>
        <w:t xml:space="preserve">Score role: </w:t>
      </w:r>
      <w:r>
        <w:t>Primary for device-code/consent variants; otherwise secondary to Signal #1.</w:t>
      </w:r>
    </w:p>
    <w:p>
      <w:pPr>
        <w:pStyle w:val="Heading1"/>
        <w:keepNext/>
      </w:pPr>
      <w:r>
        <w:t>6. Signal #4 - Multi-artifact integrity drift (corroborator only)</w:t>
      </w:r>
    </w:p>
    <w:p>
      <w:r>
        <w:t>Useful as evidence of translation/tampering, unsafe as an alerting primitive.</w:t>
      </w:r>
      <w:r>
        <w:rPr>
          <w:color w:val="5A6473"/>
        </w:rPr>
        <w:t xml:space="preserve"> [R8][R9][R10]</w:t>
      </w:r>
    </w:p>
    <w:p>
      <w:pPr>
        <w:spacing w:after="100"/>
      </w:pPr>
      <w:r>
        <w:rPr>
          <w:b/>
          <w:color w:val="20497D"/>
        </w:rPr>
        <w:t xml:space="preserve">Observe: </w:t>
      </w:r>
      <w:r>
        <w:t>Compare coarse known-good characteristics: favicon/manifest presence, canonical links, stable resource-origin families, selected inline/script structure, selected CSP properties, and HSTS only where the canonical hostname itself is being compared.</w:t>
      </w:r>
    </w:p>
    <w:p>
      <w:pPr>
        <w:spacing w:after="100"/>
      </w:pPr>
      <w:r>
        <w:rPr>
          <w:b/>
          <w:color w:val="20497D"/>
        </w:rPr>
        <w:t xml:space="preserve">What not to do: </w:t>
      </w:r>
      <w:r>
        <w:t>Do not score “brand is HSTS-preloaded but phishing domain has no HSTS” as meaningful evidence. HSTS policy attaches to hostnames, not brand identity, and an attacker can trivially serve HSTS on the phishing host. A missing favicon or CSP header is similarly weak alone.</w:t>
      </w:r>
    </w:p>
    <w:p>
      <w:pPr>
        <w:spacing w:after="100"/>
      </w:pPr>
      <w:r>
        <w:rPr>
          <w:b/>
          <w:color w:val="20497D"/>
        </w:rPr>
        <w:t xml:space="preserve">False positives: </w:t>
      </w:r>
      <w:r>
        <w:t>Medium-high alone: CDN incidents, A/B tests, security products, browser isolation, user extensions, CSP changes, app redesigns, and enterprise gateways can all produce drift.</w:t>
      </w:r>
    </w:p>
    <w:p>
      <w:pPr>
        <w:spacing w:after="100"/>
      </w:pPr>
      <w:r>
        <w:rPr>
          <w:b/>
          <w:color w:val="20497D"/>
        </w:rPr>
        <w:t xml:space="preserve">Permission cost: </w:t>
      </w:r>
      <w:r>
        <w:t>DOM asset checks are cheap. Actual response-header inspection uses webRequest with responseHeaders and applicable host permissions. DNR can condition rules on response header presence/value (Chrome 128+) but does not expose arbitrary header values to extension JavaScript.</w:t>
      </w:r>
    </w:p>
    <w:p>
      <w:pPr>
        <w:spacing w:after="100"/>
      </w:pPr>
      <w:r>
        <w:rPr>
          <w:b/>
          <w:color w:val="20497D"/>
        </w:rPr>
        <w:t xml:space="preserve">Score role: </w:t>
      </w:r>
      <w:r>
        <w:t>Never a sole blocker. Use as a small boost only after a primary identity/origin or resource-graph signal is already present.</w:t>
      </w:r>
    </w:p>
    <w:p>
      <w:pPr>
        <w:pStyle w:val="Heading1"/>
        <w:keepNext/>
      </w:pPr>
      <w:r>
        <w:t>7. Corporate proxy / ZTNA false-positive boundary</w:t>
      </w:r>
    </w:p>
    <w:tbl>
      <w:tblPr>
        <w:tblW w:type="auto" w:w="0"/>
        <w:jc w:val="center"/>
        <w:tblLayout w:type="autofit"/>
        <w:tblLook w:firstColumn="1" w:firstRow="1" w:lastColumn="0" w:lastRow="0" w:noHBand="0" w:noVBand="1" w:val="04A0"/>
        <w:tblBorders>
          <w:top w:val="single" w:sz="8" w:color="E6B25A"/>
          <w:left w:val="single" w:sz="8" w:color="E6B25A"/>
          <w:bottom w:val="single" w:sz="8" w:color="E6B25A"/>
          <w:right w:val="single" w:sz="8" w:color="E6B25A"/>
          <w:insideH w:val="single" w:sz="8" w:color="E6B25A"/>
          <w:insideV w:val="single" w:sz="8" w:color="E6B25A"/>
        </w:tblBorders>
      </w:tblPr>
      <w:tblGrid>
        <w:gridCol w:w="9638"/>
      </w:tblGrid>
      <w:tr>
        <w:tc>
          <w:tcPr>
            <w:tcW w:type="dxa" w:w="9638"/>
            <w:shd w:fill="FFF4E5"/>
            <w:tcMar>
              <w:top w:w="130" w:type="dxa"/>
              <w:start w:w="160" w:type="dxa"/>
              <w:bottom w:w="130" w:type="dxa"/>
              <w:end w:w="160" w:type="dxa"/>
            </w:tcMar>
          </w:tcPr>
          <w:p>
            <w:r>
              <w:rPr>
                <w:b/>
                <w:color w:val="143A70"/>
              </w:rPr>
              <w:t xml:space="preserve">Non-negotiable:  </w:t>
            </w:r>
            <w:r>
              <w:t>Do not classify TLS interception itself as malicious AiTM. The detector must be safe when the user is behind Zscaler, Cloudflare Gateway, Netskope, or equivalent secure web gateway/SASE infrastructure.</w:t>
            </w:r>
          </w:p>
        </w:tc>
      </w:tr>
    </w:tbl>
    <w:p>
      <w:pPr>
        <w:spacing w:after="0"/>
      </w:pPr>
    </w:p>
    <w:p>
      <w:pPr>
        <w:pStyle w:val="ListBullet"/>
        <w:spacing w:after="60"/>
      </w:pPr>
      <w:r>
        <w:t>Zscaler SSL/TLS Inspection establishes a separate TLS tunnel with the browser and another with the destination server. Certificate-chain/issuer differences are therefore expected in legitimate enterprise traffic.</w:t>
      </w:r>
      <w:r>
        <w:rPr>
          <w:color w:val="5A6473"/>
          <w:sz w:val="17"/>
        </w:rPr>
        <w:t xml:space="preserve"> [R11]</w:t>
      </w:r>
    </w:p>
    <w:p>
      <w:pPr>
        <w:pStyle w:val="ListBullet"/>
        <w:spacing w:after="60"/>
      </w:pPr>
      <w:r>
        <w:t>Cloudflare Gateway TLS decryption decrypts HTTPS, applies HTTP policies, and re-encrypts traffic with a user-side certificate; Cloudflare also supports HTTP header manipulation after TLS decryption.</w:t>
      </w:r>
      <w:r>
        <w:rPr>
          <w:color w:val="5A6473"/>
          <w:sz w:val="17"/>
        </w:rPr>
        <w:t xml:space="preserve"> [R12][R13]</w:t>
      </w:r>
    </w:p>
    <w:p>
      <w:pPr>
        <w:pStyle w:val="ListBullet"/>
        <w:spacing w:after="60"/>
      </w:pPr>
      <w:r>
        <w:t>Netskope can install its CA for SSL inspection. Its Browser Access product is a reverse-proxy/clientless-access mode that rewrites server-side Location redirects to a default or custom external hostname.</w:t>
      </w:r>
      <w:r>
        <w:rPr>
          <w:color w:val="5A6473"/>
          <w:sz w:val="17"/>
        </w:rPr>
        <w:t xml:space="preserve"> [R14][R15]</w:t>
      </w:r>
    </w:p>
    <w:p>
      <w:pPr>
        <w:pStyle w:val="ListBullet"/>
        <w:spacing w:after="60"/>
      </w:pPr>
      <w:r>
        <w:t>Because legitimate products can terminate TLS, re-sign certificates, manipulate headers, or expose wrapper hostnames, certificate issuer, TLS version/cipher differences, “proxy present,” and generic header mutation receive zero malicious-risk weight by default.</w:t>
      </w:r>
      <w:r>
        <w:rPr>
          <w:color w:val="5A6473"/>
          <w:sz w:val="17"/>
        </w:rPr>
        <w:t xml:space="preserve"> [R11][R12][R13][R14][R15]</w:t>
      </w:r>
    </w:p>
    <w:p>
      <w:pPr>
        <w:pStyle w:val="Heading2"/>
        <w:keepNext/>
      </w:pPr>
      <w:r>
        <w:t>Enterprise mediation handling</w:t>
      </w:r>
    </w:p>
    <w:p>
      <w:pPr>
        <w:pStyle w:val="ListBullet"/>
        <w:spacing w:after="60"/>
      </w:pPr>
      <w:r>
        <w:t>Maintain an enterprise mediation registry: approved clientless-access domains, custom ZTNA hostnames, tenant-specific IdP aliases, internal SSO domains, and known secure-web-gateway wrapper origins.</w:t>
      </w:r>
    </w:p>
    <w:p>
      <w:pPr>
        <w:pStyle w:val="ListBullet"/>
        <w:spacing w:after="60"/>
      </w:pPr>
      <w:r>
        <w:t>Represent “known enterprise mediation origin” as a separate trust state, not as an exception buried in the scoring algorithm.</w:t>
      </w:r>
    </w:p>
    <w:p>
      <w:pPr>
        <w:pStyle w:val="ListBullet"/>
        <w:spacing w:after="60"/>
      </w:pPr>
      <w:r>
        <w:t>For managed deployments, allow policy-pushed entries. For consumer/unmanaged installs, support local user/administrator allowlisting and explain why the domain is trusted.</w:t>
      </w:r>
    </w:p>
    <w:p>
      <w:pPr>
        <w:pStyle w:val="ListBullet"/>
        <w:spacing w:after="60"/>
      </w:pPr>
      <w:r>
        <w:t>Do not automatically trust a domain merely because it contains vendor strings such as zscaler, cloudflare, netskope, okta, microsoft, passkey, mfa, or sso.</w:t>
      </w:r>
    </w:p>
    <w:p>
      <w:pPr>
        <w:pStyle w:val="Heading1"/>
        <w:keepNext/>
      </w:pPr>
      <w:r>
        <w:t>8. MV3 observability and minimal-permission architecture</w:t>
      </w:r>
    </w:p>
    <w:p>
      <w:r>
        <w:t>Current Chrome documentation still supports observational webRequest in MV3. webRequestBlocking is the broadly removed capability; normal webRequest observation remains available. [R9]</w:t>
      </w:r>
    </w:p>
    <w:p>
      <w:pPr>
        <w:pStyle w:val="Heading2"/>
        <w:keepNext/>
      </w:pPr>
      <w:r>
        <w:t>8.1 Header observability</w:t>
      </w:r>
    </w:p>
    <w:p>
      <w:pPr>
        <w:pStyle w:val="ListBullet"/>
        <w:spacing w:after="60"/>
      </w:pPr>
      <w:r>
        <w:t>To use chrome.webRequest, declare the webRequest permission plus necessary host permissions. To observe a subresource request, Chrome requires host access to both the requested URL and the request initiator.</w:t>
      </w:r>
      <w:r>
        <w:rPr>
          <w:color w:val="5A6473"/>
          <w:sz w:val="17"/>
        </w:rPr>
        <w:t xml:space="preserve"> [R9]</w:t>
      </w:r>
    </w:p>
    <w:p>
      <w:pPr>
        <w:pStyle w:val="ListBullet"/>
        <w:spacing w:after="60"/>
      </w:pPr>
      <w:r>
        <w:t>onHeadersReceived can include responseHeaders when the responseHeaders extraInfoSpec is requested. This is the direct path for reading CSP/HSTS on requests the extension is permitted to observe.</w:t>
      </w:r>
      <w:r>
        <w:rPr>
          <w:color w:val="5A6473"/>
          <w:sz w:val="17"/>
        </w:rPr>
        <w:t xml:space="preserve"> [R9]</w:t>
      </w:r>
    </w:p>
    <w:p>
      <w:pPr>
        <w:pStyle w:val="ListBullet"/>
        <w:spacing w:after="60"/>
      </w:pPr>
      <w:r>
        <w:t>activeTab grants temporary host permission to the current tab’s main-frame origin after a user gesture and explicitly allows webRequest interception for requests in the tab to that origin. It is revoked on navigation to another origin.</w:t>
      </w:r>
      <w:r>
        <w:rPr>
          <w:color w:val="5A6473"/>
          <w:sz w:val="17"/>
        </w:rPr>
        <w:t xml:space="preserve"> [R8]</w:t>
      </w:r>
    </w:p>
    <w:p>
      <w:pPr>
        <w:pStyle w:val="ListBullet"/>
        <w:spacing w:after="60"/>
      </w:pPr>
      <w:r>
        <w:t>DNR can match responseHeaders/excludedResponseHeaders (Chrome 128+) and getMatchedRules can reveal which rule IDs matched. DNR is declarative and privacy-preserving: it does not provide arbitrary raw response-header contents to extension JavaScript.</w:t>
      </w:r>
      <w:r>
        <w:rPr>
          <w:color w:val="5A6473"/>
          <w:sz w:val="17"/>
        </w:rPr>
        <w:t xml:space="preserve"> [R10]</w:t>
      </w:r>
    </w:p>
    <w:p>
      <w:pPr>
        <w:pStyle w:val="Heading2"/>
        <w:keepNext/>
      </w:pPr>
      <w:r>
        <w:t>8.2 Recommended permission modes</w:t>
      </w:r>
    </w:p>
    <w:tbl>
      <w:tblPr>
        <w:tblW w:type="auto" w:w="0"/>
        <w:jc w:val="center"/>
        <w:tblLayout w:type="fixed"/>
        <w:tblLook w:firstColumn="1" w:firstRow="1" w:lastColumn="0" w:lastRow="0" w:noHBand="0" w:noVBand="1" w:val="04A0"/>
        <w:tblBorders>
          <w:top w:val="single" w:sz="6" w:color="D1D9E6"/>
          <w:left w:val="single" w:sz="6" w:color="D1D9E6"/>
          <w:bottom w:val="single" w:sz="6" w:color="D1D9E6"/>
          <w:right w:val="single" w:sz="6" w:color="D1D9E6"/>
          <w:insideH w:val="single" w:sz="6" w:color="D1D9E6"/>
          <w:insideV w:val="single" w:sz="6" w:color="D1D9E6"/>
        </w:tblBorders>
      </w:tblPr>
      <w:tblGrid>
        <w:gridCol w:w="2409"/>
        <w:gridCol w:w="2409"/>
        <w:gridCol w:w="2409"/>
        <w:gridCol w:w="2409"/>
      </w:tblGrid>
      <w:tr>
        <w:tc>
          <w:tcPr>
            <w:tcW w:type="dxa" w:w="2409"/>
            <w:shd w:fill="173A70"/>
            <w:tcMar>
              <w:top w:w="100" w:type="dxa"/>
              <w:start w:w="110" w:type="dxa"/>
              <w:bottom w:w="100" w:type="dxa"/>
              <w:end w:w="110" w:type="dxa"/>
            </w:tcMar>
          </w:tcPr>
          <w:p>
            <w:r>
              <w:rPr>
                <w:b/>
                <w:color w:val="FFFFFF"/>
                <w:sz w:val="17"/>
              </w:rPr>
              <w:t>Mode</w:t>
            </w:r>
          </w:p>
        </w:tc>
        <w:tc>
          <w:tcPr>
            <w:tcW w:type="dxa" w:w="2409"/>
            <w:shd w:fill="173A70"/>
            <w:tcMar>
              <w:top w:w="100" w:type="dxa"/>
              <w:start w:w="110" w:type="dxa"/>
              <w:bottom w:w="100" w:type="dxa"/>
              <w:end w:w="110" w:type="dxa"/>
            </w:tcMar>
          </w:tcPr>
          <w:p>
            <w:r>
              <w:rPr>
                <w:b/>
                <w:color w:val="FFFFFF"/>
                <w:sz w:val="17"/>
              </w:rPr>
              <w:t>Manifest surface</w:t>
            </w:r>
          </w:p>
        </w:tc>
        <w:tc>
          <w:tcPr>
            <w:tcW w:type="dxa" w:w="2409"/>
            <w:shd w:fill="173A70"/>
            <w:tcMar>
              <w:top w:w="100" w:type="dxa"/>
              <w:start w:w="110" w:type="dxa"/>
              <w:bottom w:w="100" w:type="dxa"/>
              <w:end w:w="110" w:type="dxa"/>
            </w:tcMar>
          </w:tcPr>
          <w:p>
            <w:r>
              <w:rPr>
                <w:b/>
                <w:color w:val="FFFFFF"/>
                <w:sz w:val="17"/>
              </w:rPr>
              <w:t>Capabilities</w:t>
            </w:r>
          </w:p>
        </w:tc>
        <w:tc>
          <w:tcPr>
            <w:tcW w:type="dxa" w:w="2409"/>
            <w:shd w:fill="173A70"/>
            <w:tcMar>
              <w:top w:w="100" w:type="dxa"/>
              <w:start w:w="110" w:type="dxa"/>
              <w:bottom w:w="100" w:type="dxa"/>
              <w:end w:w="110" w:type="dxa"/>
            </w:tcMar>
          </w:tcPr>
          <w:p>
            <w:r>
              <w:rPr>
                <w:b/>
                <w:color w:val="FFFFFF"/>
                <w:sz w:val="17"/>
              </w:rPr>
              <w:t>Recommendation</w:t>
            </w:r>
          </w:p>
        </w:tc>
      </w:tr>
      <w:tr>
        <w:tc>
          <w:tcPr>
            <w:tcW w:type="dxa" w:w="2409"/>
            <w:tcMar>
              <w:top w:w="80" w:type="dxa"/>
              <w:start w:w="80" w:type="dxa"/>
              <w:bottom w:w="80" w:type="dxa"/>
              <w:end w:w="80" w:type="dxa"/>
            </w:tcMar>
          </w:tcPr>
          <w:p>
            <w:r>
              <w:rPr>
                <w:b/>
                <w:sz w:val="16"/>
              </w:rPr>
              <w:t>A - On-demand</w:t>
            </w:r>
          </w:p>
        </w:tc>
        <w:tc>
          <w:tcPr>
            <w:tcW w:type="dxa" w:w="2409"/>
            <w:tcMar>
              <w:top w:w="80" w:type="dxa"/>
              <w:start w:w="80" w:type="dxa"/>
              <w:bottom w:w="80" w:type="dxa"/>
              <w:end w:w="80" w:type="dxa"/>
            </w:tcMar>
          </w:tcPr>
          <w:p>
            <w:r>
              <w:rPr>
                <w:b w:val="0"/>
                <w:sz w:val="16"/>
              </w:rPr>
              <w:t>activeTab, scripting</w:t>
            </w:r>
          </w:p>
        </w:tc>
        <w:tc>
          <w:tcPr>
            <w:tcW w:type="dxa" w:w="2409"/>
            <w:tcMar>
              <w:top w:w="80" w:type="dxa"/>
              <w:start w:w="80" w:type="dxa"/>
              <w:bottom w:w="80" w:type="dxa"/>
              <w:end w:w="80" w:type="dxa"/>
            </w:tcMar>
          </w:tcPr>
          <w:p>
            <w:r>
              <w:rPr>
                <w:b w:val="0"/>
                <w:sz w:val="16"/>
              </w:rPr>
              <w:t>Full current-page DOM/origin/resource graph. Optional webRequest can observe next/same-origin traffic after grant.</w:t>
            </w:r>
          </w:p>
        </w:tc>
        <w:tc>
          <w:tcPr>
            <w:tcW w:type="dxa" w:w="2409"/>
            <w:tcMar>
              <w:top w:w="80" w:type="dxa"/>
              <w:start w:w="80" w:type="dxa"/>
              <w:bottom w:w="80" w:type="dxa"/>
              <w:end w:w="80" w:type="dxa"/>
            </w:tcMar>
          </w:tcPr>
          <w:p>
            <w:r>
              <w:rPr>
                <w:b w:val="0"/>
                <w:sz w:val="16"/>
              </w:rPr>
              <w:t>Best default/privacy mode.</w:t>
            </w:r>
          </w:p>
        </w:tc>
      </w:tr>
      <w:tr>
        <w:tc>
          <w:tcPr>
            <w:tcW w:type="dxa" w:w="2409"/>
            <w:tcMar>
              <w:top w:w="80" w:type="dxa"/>
              <w:start w:w="80" w:type="dxa"/>
              <w:bottom w:w="80" w:type="dxa"/>
              <w:end w:w="80" w:type="dxa"/>
            </w:tcMar>
          </w:tcPr>
          <w:p>
            <w:r>
              <w:rPr>
                <w:b/>
                <w:sz w:val="16"/>
              </w:rPr>
              <w:t>B - Strict automatic</w:t>
            </w:r>
          </w:p>
        </w:tc>
        <w:tc>
          <w:tcPr>
            <w:tcW w:type="dxa" w:w="2409"/>
            <w:tcMar>
              <w:top w:w="80" w:type="dxa"/>
              <w:start w:w="80" w:type="dxa"/>
              <w:bottom w:w="80" w:type="dxa"/>
              <w:end w:w="80" w:type="dxa"/>
            </w:tcMar>
          </w:tcPr>
          <w:p>
            <w:r>
              <w:rPr>
                <w:b w:val="0"/>
                <w:sz w:val="16"/>
              </w:rPr>
              <w:t>scripting + optional_host_permissions; webRequest only if header features enabled</w:t>
            </w:r>
          </w:p>
        </w:tc>
        <w:tc>
          <w:tcPr>
            <w:tcW w:type="dxa" w:w="2409"/>
            <w:tcMar>
              <w:top w:w="80" w:type="dxa"/>
              <w:start w:w="80" w:type="dxa"/>
              <w:bottom w:w="80" w:type="dxa"/>
              <w:end w:w="80" w:type="dxa"/>
            </w:tcMar>
          </w:tcPr>
          <w:p>
            <w:r>
              <w:rPr>
                <w:b w:val="0"/>
                <w:sz w:val="16"/>
              </w:rPr>
              <w:t>Automatic analysis only on origins explicitly granted at runtime.</w:t>
            </w:r>
          </w:p>
        </w:tc>
        <w:tc>
          <w:tcPr>
            <w:tcW w:type="dxa" w:w="2409"/>
            <w:tcMar>
              <w:top w:w="80" w:type="dxa"/>
              <w:start w:w="80" w:type="dxa"/>
              <w:bottom w:w="80" w:type="dxa"/>
              <w:end w:w="80" w:type="dxa"/>
            </w:tcMar>
          </w:tcPr>
          <w:p>
            <w:r>
              <w:rPr>
                <w:b w:val="0"/>
                <w:sz w:val="16"/>
              </w:rPr>
              <w:t>Best “strict protection” mode.</w:t>
            </w:r>
          </w:p>
        </w:tc>
      </w:tr>
      <w:tr>
        <w:tc>
          <w:tcPr>
            <w:tcW w:type="dxa" w:w="2409"/>
            <w:tcMar>
              <w:top w:w="80" w:type="dxa"/>
              <w:start w:w="80" w:type="dxa"/>
              <w:bottom w:w="80" w:type="dxa"/>
              <w:end w:w="80" w:type="dxa"/>
            </w:tcMar>
          </w:tcPr>
          <w:p>
            <w:r>
              <w:rPr>
                <w:b/>
                <w:sz w:val="16"/>
              </w:rPr>
              <w:t>C - Broad managed</w:t>
            </w:r>
          </w:p>
        </w:tc>
        <w:tc>
          <w:tcPr>
            <w:tcW w:type="dxa" w:w="2409"/>
            <w:tcMar>
              <w:top w:w="80" w:type="dxa"/>
              <w:start w:w="80" w:type="dxa"/>
              <w:bottom w:w="80" w:type="dxa"/>
              <w:end w:w="80" w:type="dxa"/>
            </w:tcMar>
          </w:tcPr>
          <w:p>
            <w:r>
              <w:rPr>
                <w:b w:val="0"/>
                <w:sz w:val="16"/>
              </w:rPr>
              <w:t>enterprise policy-granted host access + scripting/webRequest as needed</w:t>
            </w:r>
          </w:p>
        </w:tc>
        <w:tc>
          <w:tcPr>
            <w:tcW w:type="dxa" w:w="2409"/>
            <w:tcMar>
              <w:top w:w="80" w:type="dxa"/>
              <w:start w:w="80" w:type="dxa"/>
              <w:bottom w:w="80" w:type="dxa"/>
              <w:end w:w="80" w:type="dxa"/>
            </w:tcMar>
          </w:tcPr>
          <w:p>
            <w:r>
              <w:rPr>
                <w:b w:val="0"/>
                <w:sz w:val="16"/>
              </w:rPr>
              <w:t>Continuous coverage including headers and navigation continuity.</w:t>
            </w:r>
          </w:p>
        </w:tc>
        <w:tc>
          <w:tcPr>
            <w:tcW w:type="dxa" w:w="2409"/>
            <w:tcMar>
              <w:top w:w="80" w:type="dxa"/>
              <w:start w:w="80" w:type="dxa"/>
              <w:bottom w:w="80" w:type="dxa"/>
              <w:end w:w="80" w:type="dxa"/>
            </w:tcMar>
          </w:tcPr>
          <w:p>
            <w:r>
              <w:rPr>
                <w:b w:val="0"/>
                <w:sz w:val="16"/>
              </w:rPr>
              <w:t>Only for managed/explicitly consented deployments.</w:t>
            </w:r>
          </w:p>
        </w:tc>
      </w:tr>
      <w:tr>
        <w:tc>
          <w:tcPr>
            <w:tcW w:type="dxa" w:w="2409"/>
            <w:tcMar>
              <w:top w:w="80" w:type="dxa"/>
              <w:start w:w="80" w:type="dxa"/>
              <w:bottom w:w="80" w:type="dxa"/>
              <w:end w:w="80" w:type="dxa"/>
            </w:tcMar>
          </w:tcPr>
          <w:p>
            <w:r>
              <w:rPr>
                <w:b/>
                <w:sz w:val="16"/>
              </w:rPr>
              <w:t>D - DNR helper</w:t>
            </w:r>
          </w:p>
        </w:tc>
        <w:tc>
          <w:tcPr>
            <w:tcW w:type="dxa" w:w="2409"/>
            <w:tcMar>
              <w:top w:w="80" w:type="dxa"/>
              <w:start w:w="80" w:type="dxa"/>
              <w:bottom w:w="80" w:type="dxa"/>
              <w:end w:w="80" w:type="dxa"/>
            </w:tcMar>
          </w:tcPr>
          <w:p>
            <w:r>
              <w:rPr>
                <w:b w:val="0"/>
                <w:sz w:val="16"/>
              </w:rPr>
              <w:t>declarativeNetRequestWithHostAccess + granted hosts</w:t>
            </w:r>
          </w:p>
        </w:tc>
        <w:tc>
          <w:tcPr>
            <w:tcW w:type="dxa" w:w="2409"/>
            <w:tcMar>
              <w:top w:w="80" w:type="dxa"/>
              <w:start w:w="80" w:type="dxa"/>
              <w:bottom w:w="80" w:type="dxa"/>
              <w:end w:w="80" w:type="dxa"/>
            </w:tcMar>
          </w:tcPr>
          <w:p>
            <w:r>
              <w:rPr>
                <w:b w:val="0"/>
                <w:sz w:val="16"/>
              </w:rPr>
              <w:t>Declarative predicates/actions and coarse rule-match signals; not raw telemetry.</w:t>
            </w:r>
          </w:p>
        </w:tc>
        <w:tc>
          <w:tcPr>
            <w:tcW w:type="dxa" w:w="2409"/>
            <w:tcMar>
              <w:top w:w="80" w:type="dxa"/>
              <w:start w:w="80" w:type="dxa"/>
              <w:bottom w:w="80" w:type="dxa"/>
              <w:end w:w="80" w:type="dxa"/>
            </w:tcMar>
          </w:tcPr>
          <w:p>
            <w:r>
              <w:rPr>
                <w:b w:val="0"/>
                <w:sz w:val="16"/>
              </w:rPr>
              <w:t>Optional optimization, not core sensor.</w:t>
            </w:r>
          </w:p>
        </w:tc>
      </w:tr>
    </w:tbl>
    <w:p>
      <w:pPr>
        <w:pStyle w:val="SmallNote"/>
      </w:pPr>
      <w:r>
        <w:t>Important implementation detail: webRequest is not retroactive. If an on-demand extension is invoked after a page response has already completed, it cannot recover response headers from that past event. Header inspection in on-demand mode requires observing a subsequent/reloaded request.</w:t>
      </w:r>
    </w:p>
    <w:p>
      <w:pPr>
        <w:pStyle w:val="Heading2"/>
        <w:keepNext/>
      </w:pPr>
      <w:r>
        <w:t>8.3 Minimal manifest sketches</w:t>
      </w:r>
    </w:p>
    <w:p>
      <w:r>
        <w:t>On-demand core (no broad host permission):</w:t>
      </w:r>
    </w:p>
    <w:p>
      <w:pPr>
        <w:pStyle w:val="CodeBlock"/>
      </w:pPr>
      <w:r>
        <w:t>{</w:t>
        <w:br/>
        <w:t xml:space="preserve">  "manifest_version": 3,</w:t>
        <w:br/>
        <w:t xml:space="preserve">  "permissions": ["activeTab", "scripting"],</w:t>
        <w:br/>
        <w:t xml:space="preserve">  "background": { "service_worker": "service-worker.js" }</w:t>
        <w:br/>
        <w:t>}</w:t>
      </w:r>
    </w:p>
    <w:p>
      <w:r>
        <w:t>Strict mode with optional per-origin grants and optional header observation:</w:t>
      </w:r>
    </w:p>
    <w:p>
      <w:pPr>
        <w:pStyle w:val="CodeBlock"/>
      </w:pPr>
      <w:r>
        <w:t>{</w:t>
        <w:br/>
        <w:t xml:space="preserve">  "manifest_version": 3,</w:t>
        <w:br/>
        <w:t xml:space="preserve">  "permissions": ["scripting", "webRequest"],</w:t>
        <w:br/>
        <w:t xml:space="preserve">  "optional_host_permissions": ["https://*/*"]</w:t>
        <w:br/>
        <w:t>}</w:t>
      </w:r>
    </w:p>
    <w:p>
      <w:pPr>
        <w:pStyle w:val="SmallNote"/>
      </w:pPr>
      <w:r>
        <w:t>Treat these as architecture sketches, not copy/paste-final manifests. Keep requested origins narrow and tie grants to explicit user/enterprise policy intent.</w:t>
      </w:r>
    </w:p>
    <w:p>
      <w:pPr>
        <w:pStyle w:val="Heading1"/>
        <w:keepNext/>
      </w:pPr>
      <w:r>
        <w:t>9. Kit leftovers and what is actually worth using</w:t>
      </w:r>
    </w:p>
    <w:p>
      <w:r>
        <w:rPr>
          <w:b/>
          <w:color w:val="20497D"/>
        </w:rPr>
        <w:t xml:space="preserve">Evilginx 3.x: </w:t>
      </w:r>
      <w:r>
        <w:t>The public changelog documents sub-filters/original-domain replacement helpers, custom JavaScript injection, request interception/custom responses, response-body/header token capture, and multiple fixes specifically making proxied content replacement/injection or external-scanner evasion more reliable. This is evidence that exact fingerprints are unstable, while translation/injection pressure is durable.</w:t>
      </w:r>
      <w:r>
        <w:rPr>
          <w:color w:val="5A6473"/>
        </w:rPr>
        <w:t xml:space="preserve"> [R7]</w:t>
      </w:r>
    </w:p>
    <w:p>
      <w:r>
        <w:rPr>
          <w:b/>
          <w:color w:val="20497D"/>
        </w:rPr>
        <w:t xml:space="preserve">Muraena: </w:t>
      </w:r>
      <w:r>
        <w:t>Describes itself as an almost-transparent reverse proxy that dynamically interacts with the origin rather than serving static cloned pages. This supports resource-graph/origin-integrity detection rather than static-page signatures.</w:t>
      </w:r>
      <w:r>
        <w:rPr>
          <w:color w:val="5A6473"/>
        </w:rPr>
        <w:t xml:space="preserve"> [R20]</w:t>
      </w:r>
    </w:p>
    <w:p>
      <w:r>
        <w:rPr>
          <w:b/>
          <w:color w:val="20497D"/>
        </w:rPr>
        <w:t xml:space="preserve">Modlishka: </w:t>
      </w:r>
      <w:r>
        <w:t>Describes transparent multi-domain proxying over a single domain and pattern-based JavaScript payload injection. Again, domain translation and script/resource manipulation are structural effects, but exact artifacts can vary.</w:t>
      </w:r>
      <w:r>
        <w:rPr>
          <w:color w:val="5A6473"/>
        </w:rPr>
        <w:t xml:space="preserve"> [R21]</w:t>
      </w:r>
    </w:p>
    <w:p>
      <w:r>
        <w:rPr>
          <w:b/>
          <w:color w:val="20497D"/>
        </w:rPr>
        <w:t xml:space="preserve">Academic evidence: </w:t>
      </w:r>
      <w:r>
        <w:t>The 2021 ACM work analyzes Evilginx, Modlishka and Muraena. The 2026 BYU thesis reports 99.7% accuracy for server-side HTTP-header artifact detection in its test setting, but importantly concludes many Evilginx artifacts are implementation-specific and trivially patchable; counter-evasion can expose new inconsistencies. For an MV3 client, this argues for combined structural invariants rather than one-kit signatures.</w:t>
      </w:r>
      <w:r>
        <w:rPr>
          <w:color w:val="5A6473"/>
        </w:rPr>
        <w:t xml:space="preserve"> [R5][R6]</w:t>
      </w:r>
    </w:p>
    <w:p>
      <w:pPr>
        <w:pStyle w:val="Heading1"/>
        <w:keepNext/>
      </w:pPr>
      <w:r>
        <w:t>10. August 6, 2026 GTIG watcher update - required design delta</w:t>
      </w:r>
    </w:p>
    <w:tbl>
      <w:tblPr>
        <w:tblW w:type="auto" w:w="0"/>
        <w:jc w:val="center"/>
        <w:tblLayout w:type="autofit"/>
        <w:tblLook w:firstColumn="1" w:firstRow="1" w:lastColumn="0" w:lastRow="0" w:noHBand="0" w:noVBand="1" w:val="04A0"/>
        <w:tblBorders>
          <w:top w:val="single" w:sz="8" w:color="9CBCEB"/>
          <w:left w:val="single" w:sz="8" w:color="9CBCEB"/>
          <w:bottom w:val="single" w:sz="8" w:color="9CBCEB"/>
          <w:right w:val="single" w:sz="8" w:color="9CBCEB"/>
          <w:insideH w:val="single" w:sz="8" w:color="9CBCEB"/>
          <w:insideV w:val="single" w:sz="8" w:color="9CBCEB"/>
        </w:tblBorders>
      </w:tblPr>
      <w:tblGrid>
        <w:gridCol w:w="9638"/>
      </w:tblGrid>
      <w:tr>
        <w:tc>
          <w:tcPr>
            <w:tcW w:type="dxa" w:w="9638"/>
            <w:shd w:fill="EAF2FF"/>
            <w:tcMar>
              <w:top w:w="130" w:type="dxa"/>
              <w:start w:w="160" w:type="dxa"/>
              <w:bottom w:w="130" w:type="dxa"/>
              <w:end w:w="160" w:type="dxa"/>
            </w:tcMar>
          </w:tcPr>
          <w:p>
            <w:r>
              <w:rPr>
                <w:b/>
                <w:color w:val="143A70"/>
              </w:rPr>
              <w:t xml:space="preserve">Upgrade Signal #1:  </w:t>
            </w:r>
            <w:r>
              <w:t>Rename the concept from “login UI on wrong origin” to “identity-security interaction on wrong origin.” Login, MFA, OTP, device-code authorization, passkey/security-key enrollment, SSO setup, and security-migration/helpdesk workflows feed the same semantic/origin model.</w:t>
            </w:r>
          </w:p>
        </w:tc>
      </w:tr>
    </w:tbl>
    <w:p>
      <w:pPr>
        <w:spacing w:after="0"/>
      </w:pPr>
    </w:p>
    <w:p>
      <w:pPr>
        <w:pStyle w:val="ListBullet"/>
        <w:spacing w:after="60"/>
      </w:pPr>
      <w:r>
        <w:t>GTIG reports UNC6671 using vishing as IT helpdesk staff facilitating mandatory, urgent security migrations and directing victims to spoofed AiTM login portals.</w:t>
      </w:r>
      <w:r>
        <w:rPr>
          <w:color w:val="5A6473"/>
          <w:sz w:val="17"/>
        </w:rPr>
        <w:t xml:space="preserve"> [R1]</w:t>
      </w:r>
    </w:p>
    <w:p>
      <w:pPr>
        <w:pStyle w:val="ListBullet"/>
        <w:spacing w:after="60"/>
      </w:pPr>
      <w:r>
        <w:t>Recent calls use the pretext that the employee must enable FIDO2 passkeys or update MFA enrollment, then direct the employee to victim-specific subdomains under generic roots such as createssopasskey[.]com or addssopasskey[.]com.</w:t>
      </w:r>
      <w:r>
        <w:rPr>
          <w:color w:val="5A6473"/>
          <w:sz w:val="17"/>
        </w:rPr>
        <w:t xml:space="preserve"> [R1]</w:t>
      </w:r>
    </w:p>
    <w:p>
      <w:pPr>
        <w:pStyle w:val="ListBullet"/>
        <w:spacing w:after="60"/>
      </w:pPr>
      <w:r>
        <w:t>The same phishing templates were reused across multiple root domains/brands. GTIG observed the June-July infrastructure cadence accelerating to roughly one new domain every 1.6 days, including a burst of seven domains in 72 hours.</w:t>
      </w:r>
      <w:r>
        <w:rPr>
          <w:color w:val="5A6473"/>
          <w:sz w:val="17"/>
        </w:rPr>
        <w:t xml:space="preserve"> [R1]</w:t>
      </w:r>
    </w:p>
    <w:p>
      <w:pPr>
        <w:pStyle w:val="ListBullet"/>
        <w:spacing w:after="60"/>
      </w:pPr>
      <w:r>
        <w:t>GTIG recommends real FIDO2/passkeys because WebAuthn cryptographically binds authentication to the legitimate origin, making lookalike domains and conventional AiTM proxies ineffective. Therefore “passkey” branding is not a trust signal; genuine WebAuthn origin binding is the security property.</w:t>
      </w:r>
      <w:r>
        <w:rPr>
          <w:color w:val="5A6473"/>
          <w:sz w:val="17"/>
        </w:rPr>
        <w:t xml:space="preserve"> [R1]</w:t>
      </w:r>
    </w:p>
    <w:p>
      <w:pPr>
        <w:pStyle w:val="Heading1"/>
        <w:keepNext/>
      </w:pPr>
      <w:r>
        <w:t>11. Server-side mitigations vs client-side value</w:t>
      </w:r>
    </w:p>
    <w:p>
      <w:r>
        <w:t>The extension should be positioned as pre-authentication identity/origin protection and user-interaction interception, not as a definitive attribution engine for a named kit.</w:t>
      </w:r>
    </w:p>
    <w:p>
      <w:pPr>
        <w:pStyle w:val="ListBullet"/>
        <w:spacing w:after="60"/>
      </w:pPr>
      <w:r>
        <w:t>Microsoft Token Protection binds supported sign-in session tokens to a device, but Microsoft’s current documentation states browser-based applications are not supported; support is native-application focused.</w:t>
      </w:r>
      <w:r>
        <w:rPr>
          <w:color w:val="5A6473"/>
          <w:sz w:val="17"/>
        </w:rPr>
        <w:t xml:space="preserve"> [R16]</w:t>
      </w:r>
    </w:p>
    <w:p>
      <w:pPr>
        <w:pStyle w:val="ListBullet"/>
        <w:spacing w:after="60"/>
      </w:pPr>
      <w:r>
        <w:t>Microsoft Continuous Access Evaluation can enforce revocation/policy/location changes outside the normal token lifetime for supported resources/clients, reducing the useful replay window and enabling near-real-time challenge behavior.</w:t>
      </w:r>
      <w:r>
        <w:rPr>
          <w:color w:val="5A6473"/>
          <w:sz w:val="17"/>
        </w:rPr>
        <w:t xml:space="preserve"> [R17]</w:t>
      </w:r>
    </w:p>
    <w:p>
      <w:pPr>
        <w:pStyle w:val="ListBullet"/>
        <w:spacing w:after="60"/>
      </w:pPr>
      <w:r>
        <w:t>Chrome 145 on Windows exposes Device Bound Session Credentials (DBSC) to protect sessions from cookie theft, indicating browser platforms are moving token/session security closer to cryptographic device binding.</w:t>
      </w:r>
      <w:r>
        <w:rPr>
          <w:color w:val="5A6473"/>
          <w:sz w:val="17"/>
        </w:rPr>
        <w:t xml:space="preserve"> [R18]</w:t>
      </w:r>
    </w:p>
    <w:p>
      <w:pPr>
        <w:pStyle w:val="ListBullet"/>
        <w:spacing w:after="60"/>
      </w:pPr>
      <w:r>
        <w:t>WebAuthn/FIDO2 origin binding is a direct answer to lookalike/reverse-proxy phishing for the authentication ceremony, and managed-device / trusted-network policy further constrains token replay.</w:t>
      </w:r>
      <w:r>
        <w:rPr>
          <w:color w:val="5A6473"/>
          <w:sz w:val="17"/>
        </w:rPr>
        <w:t xml:space="preserve"> [R1]</w:t>
      </w:r>
    </w:p>
    <w:tbl>
      <w:tblPr>
        <w:tblW w:type="auto" w:w="0"/>
        <w:jc w:val="center"/>
        <w:tblLayout w:type="autofit"/>
        <w:tblLook w:firstColumn="1" w:firstRow="1" w:lastColumn="0" w:lastRow="0" w:noHBand="0" w:noVBand="1" w:val="04A0"/>
        <w:tblBorders>
          <w:top w:val="single" w:sz="8" w:color="9CBCEB"/>
          <w:left w:val="single" w:sz="8" w:color="9CBCEB"/>
          <w:bottom w:val="single" w:sz="8" w:color="9CBCEB"/>
          <w:right w:val="single" w:sz="8" w:color="9CBCEB"/>
          <w:insideH w:val="single" w:sz="8" w:color="9CBCEB"/>
          <w:insideV w:val="single" w:sz="8" w:color="9CBCEB"/>
        </w:tblBorders>
      </w:tblPr>
      <w:tblGrid>
        <w:gridCol w:w="9638"/>
      </w:tblGrid>
      <w:tr>
        <w:tc>
          <w:tcPr>
            <w:tcW w:type="dxa" w:w="9638"/>
            <w:shd w:fill="EAF2FF"/>
            <w:tcMar>
              <w:top w:w="130" w:type="dxa"/>
              <w:start w:w="160" w:type="dxa"/>
              <w:bottom w:w="130" w:type="dxa"/>
              <w:end w:w="160" w:type="dxa"/>
            </w:tcMar>
          </w:tcPr>
          <w:p>
            <w:r>
              <w:rPr>
                <w:b/>
                <w:color w:val="143A70"/>
              </w:rPr>
              <w:t xml:space="preserve">Product positioning:  </w:t>
            </w:r>
            <w:r>
              <w:t>This is detection plus prevention before authentication is completed. It should warn when identity/security interaction occurs on an unrelated origin, even if it cannot prove whether the backend is Evilginx, Muraena, Tycoon, a private kit, or a future 2026/2027 proxy implementation.</w:t>
            </w:r>
          </w:p>
        </w:tc>
      </w:tr>
    </w:tbl>
    <w:p>
      <w:pPr>
        <w:spacing w:after="0"/>
      </w:pPr>
    </w:p>
    <w:p>
      <w:pPr>
        <w:pStyle w:val="Heading1"/>
        <w:keepNext/>
      </w:pPr>
      <w:r>
        <w:t>12. Recommended scoring model</w:t>
      </w:r>
    </w:p>
    <w:p>
      <w:r>
        <w:t>Use a transparent weighted model initially; do not hide all logic inside ML. The score must be explainable to users and testable against enterprise proxy scenarios.</w:t>
      </w:r>
    </w:p>
    <w:tbl>
      <w:tblPr>
        <w:tblW w:type="auto" w:w="0"/>
        <w:jc w:val="center"/>
        <w:tblLook w:firstColumn="1" w:firstRow="1" w:lastColumn="0" w:lastRow="0" w:noHBand="0" w:noVBand="1" w:val="04A0"/>
        <w:tblBorders>
          <w:top w:val="single" w:sz="6" w:color="D1D9E6"/>
          <w:left w:val="single" w:sz="6" w:color="D1D9E6"/>
          <w:bottom w:val="single" w:sz="6" w:color="D1D9E6"/>
          <w:right w:val="single" w:sz="6" w:color="D1D9E6"/>
          <w:insideH w:val="single" w:sz="6" w:color="D1D9E6"/>
          <w:insideV w:val="single" w:sz="6" w:color="D1D9E6"/>
        </w:tblBorders>
      </w:tblPr>
      <w:tblGrid>
        <w:gridCol w:w="3213"/>
        <w:gridCol w:w="3213"/>
        <w:gridCol w:w="3213"/>
      </w:tblGrid>
      <w:tr>
        <w:tc>
          <w:tcPr>
            <w:tcW w:type="dxa" w:w="3213"/>
            <w:shd w:fill="173A70"/>
          </w:tcPr>
          <w:p>
            <w:r>
              <w:rPr>
                <w:b/>
                <w:color w:val="FFFFFF"/>
                <w:sz w:val="18"/>
              </w:rPr>
              <w:t>Evidence</w:t>
            </w:r>
          </w:p>
        </w:tc>
        <w:tc>
          <w:tcPr>
            <w:tcW w:type="dxa" w:w="3213"/>
            <w:shd w:fill="173A70"/>
          </w:tcPr>
          <w:p>
            <w:r>
              <w:rPr>
                <w:b/>
                <w:color w:val="FFFFFF"/>
                <w:sz w:val="18"/>
              </w:rPr>
              <w:t>Suggested weight</w:t>
            </w:r>
          </w:p>
        </w:tc>
        <w:tc>
          <w:tcPr>
            <w:tcW w:type="dxa" w:w="3213"/>
            <w:shd w:fill="173A70"/>
          </w:tcPr>
          <w:p>
            <w:r>
              <w:rPr>
                <w:b/>
                <w:color w:val="FFFFFF"/>
                <w:sz w:val="18"/>
              </w:rPr>
              <w:t>Rules</w:t>
            </w:r>
          </w:p>
        </w:tc>
      </w:tr>
      <w:tr>
        <w:tc>
          <w:tcPr>
            <w:tcW w:type="dxa" w:w="3213"/>
            <w:tcMar>
              <w:top w:w="100" w:type="dxa"/>
              <w:start w:w="110" w:type="dxa"/>
              <w:bottom w:w="100" w:type="dxa"/>
              <w:end w:w="110" w:type="dxa"/>
            </w:tcMar>
          </w:tcPr>
          <w:p>
            <w:r>
              <w:rPr>
                <w:b w:val="0"/>
                <w:sz w:val="16"/>
              </w:rPr>
              <w:t>Identity/security-sensitive interaction + unrelated origin</w:t>
            </w:r>
          </w:p>
        </w:tc>
        <w:tc>
          <w:tcPr>
            <w:tcW w:type="dxa" w:w="3213"/>
            <w:tcMar>
              <w:top w:w="100" w:type="dxa"/>
              <w:start w:w="110" w:type="dxa"/>
              <w:bottom w:w="100" w:type="dxa"/>
              <w:end w:w="110" w:type="dxa"/>
            </w:tcMar>
          </w:tcPr>
          <w:p>
            <w:r>
              <w:rPr>
                <w:b/>
                <w:sz w:val="16"/>
              </w:rPr>
              <w:t>+45 to +60</w:t>
            </w:r>
          </w:p>
        </w:tc>
        <w:tc>
          <w:tcPr>
            <w:tcW w:type="dxa" w:w="3213"/>
            <w:tcMar>
              <w:top w:w="100" w:type="dxa"/>
              <w:start w:w="110" w:type="dxa"/>
              <w:bottom w:w="100" w:type="dxa"/>
              <w:end w:w="110" w:type="dxa"/>
            </w:tcMar>
          </w:tcPr>
          <w:p>
            <w:r>
              <w:rPr>
                <w:b w:val="0"/>
                <w:sz w:val="16"/>
              </w:rPr>
              <w:t>Highest weight. Includes login/MFA/device-code/passkey/security enrollment.</w:t>
            </w:r>
          </w:p>
        </w:tc>
      </w:tr>
      <w:tr>
        <w:tc>
          <w:tcPr>
            <w:tcW w:type="dxa" w:w="3213"/>
            <w:tcMar>
              <w:top w:w="100" w:type="dxa"/>
              <w:start w:w="110" w:type="dxa"/>
              <w:bottom w:w="100" w:type="dxa"/>
              <w:end w:w="110" w:type="dxa"/>
            </w:tcMar>
          </w:tcPr>
          <w:p>
            <w:r>
              <w:rPr>
                <w:b w:val="0"/>
                <w:sz w:val="16"/>
              </w:rPr>
              <w:t>2+ resource-origin translation/collapse inconsistencies</w:t>
            </w:r>
          </w:p>
        </w:tc>
        <w:tc>
          <w:tcPr>
            <w:tcW w:type="dxa" w:w="3213"/>
            <w:tcMar>
              <w:top w:w="100" w:type="dxa"/>
              <w:start w:w="110" w:type="dxa"/>
              <w:bottom w:w="100" w:type="dxa"/>
              <w:end w:w="110" w:type="dxa"/>
            </w:tcMar>
          </w:tcPr>
          <w:p>
            <w:r>
              <w:rPr>
                <w:b/>
                <w:sz w:val="16"/>
              </w:rPr>
              <w:t>+25 to +35</w:t>
            </w:r>
          </w:p>
        </w:tc>
        <w:tc>
          <w:tcPr>
            <w:tcW w:type="dxa" w:w="3213"/>
            <w:tcMar>
              <w:top w:w="100" w:type="dxa"/>
              <w:start w:w="110" w:type="dxa"/>
              <w:bottom w:w="100" w:type="dxa"/>
              <w:end w:w="110" w:type="dxa"/>
            </w:tcMar>
          </w:tcPr>
          <w:p>
            <w:r>
              <w:rPr>
                <w:b w:val="0"/>
                <w:sz w:val="16"/>
              </w:rPr>
              <w:t>Require multiple independent anomalies.</w:t>
            </w:r>
          </w:p>
        </w:tc>
      </w:tr>
      <w:tr>
        <w:tc>
          <w:tcPr>
            <w:tcW w:type="dxa" w:w="3213"/>
            <w:tcMar>
              <w:top w:w="100" w:type="dxa"/>
              <w:start w:w="110" w:type="dxa"/>
              <w:bottom w:w="100" w:type="dxa"/>
              <w:end w:w="110" w:type="dxa"/>
            </w:tcMar>
          </w:tcPr>
          <w:p>
            <w:r>
              <w:rPr>
                <w:b w:val="0"/>
                <w:sz w:val="16"/>
              </w:rPr>
              <w:t>Suspicious auth-flow continuity / device-code handoff</w:t>
            </w:r>
          </w:p>
        </w:tc>
        <w:tc>
          <w:tcPr>
            <w:tcW w:type="dxa" w:w="3213"/>
            <w:tcMar>
              <w:top w:w="100" w:type="dxa"/>
              <w:start w:w="110" w:type="dxa"/>
              <w:bottom w:w="100" w:type="dxa"/>
              <w:end w:w="110" w:type="dxa"/>
            </w:tcMar>
          </w:tcPr>
          <w:p>
            <w:r>
              <w:rPr>
                <w:b/>
                <w:sz w:val="16"/>
              </w:rPr>
              <w:t>+20 to +35</w:t>
            </w:r>
          </w:p>
        </w:tc>
        <w:tc>
          <w:tcPr>
            <w:tcW w:type="dxa" w:w="3213"/>
            <w:tcMar>
              <w:top w:w="100" w:type="dxa"/>
              <w:start w:w="110" w:type="dxa"/>
              <w:bottom w:w="100" w:type="dxa"/>
              <w:end w:w="110" w:type="dxa"/>
            </w:tcMar>
          </w:tcPr>
          <w:p>
            <w:r>
              <w:rPr>
                <w:b w:val="0"/>
                <w:sz w:val="16"/>
              </w:rPr>
              <w:t>Strong only when initiating origin is unrelated to claimed identity.</w:t>
            </w:r>
          </w:p>
        </w:tc>
      </w:tr>
      <w:tr>
        <w:tc>
          <w:tcPr>
            <w:tcW w:type="dxa" w:w="3213"/>
            <w:tcMar>
              <w:top w:w="100" w:type="dxa"/>
              <w:start w:w="110" w:type="dxa"/>
              <w:bottom w:w="100" w:type="dxa"/>
              <w:end w:w="110" w:type="dxa"/>
            </w:tcMar>
          </w:tcPr>
          <w:p>
            <w:r>
              <w:rPr>
                <w:b w:val="0"/>
                <w:sz w:val="16"/>
              </w:rPr>
              <w:t>Multi-artifact integrity drift</w:t>
            </w:r>
          </w:p>
        </w:tc>
        <w:tc>
          <w:tcPr>
            <w:tcW w:type="dxa" w:w="3213"/>
            <w:tcMar>
              <w:top w:w="100" w:type="dxa"/>
              <w:start w:w="110" w:type="dxa"/>
              <w:bottom w:w="100" w:type="dxa"/>
              <w:end w:w="110" w:type="dxa"/>
            </w:tcMar>
          </w:tcPr>
          <w:p>
            <w:r>
              <w:rPr>
                <w:b/>
                <w:sz w:val="16"/>
              </w:rPr>
              <w:t>+5 to +15</w:t>
            </w:r>
          </w:p>
        </w:tc>
        <w:tc>
          <w:tcPr>
            <w:tcW w:type="dxa" w:w="3213"/>
            <w:tcMar>
              <w:top w:w="100" w:type="dxa"/>
              <w:start w:w="110" w:type="dxa"/>
              <w:bottom w:w="100" w:type="dxa"/>
              <w:end w:w="110" w:type="dxa"/>
            </w:tcMar>
          </w:tcPr>
          <w:p>
            <w:r>
              <w:rPr>
                <w:b w:val="0"/>
                <w:sz w:val="16"/>
              </w:rPr>
              <w:t>Never sufficient alone.</w:t>
            </w:r>
          </w:p>
        </w:tc>
      </w:tr>
      <w:tr>
        <w:tc>
          <w:tcPr>
            <w:tcW w:type="dxa" w:w="3213"/>
            <w:tcMar>
              <w:top w:w="100" w:type="dxa"/>
              <w:start w:w="110" w:type="dxa"/>
              <w:bottom w:w="100" w:type="dxa"/>
              <w:end w:w="110" w:type="dxa"/>
            </w:tcMar>
          </w:tcPr>
          <w:p>
            <w:r>
              <w:rPr>
                <w:b w:val="0"/>
                <w:sz w:val="16"/>
              </w:rPr>
              <w:t>Known enterprise mediation domain</w:t>
            </w:r>
          </w:p>
        </w:tc>
        <w:tc>
          <w:tcPr>
            <w:tcW w:type="dxa" w:w="3213"/>
            <w:tcMar>
              <w:top w:w="100" w:type="dxa"/>
              <w:start w:w="110" w:type="dxa"/>
              <w:bottom w:w="100" w:type="dxa"/>
              <w:end w:w="110" w:type="dxa"/>
            </w:tcMar>
          </w:tcPr>
          <w:p>
            <w:r>
              <w:rPr>
                <w:b/>
                <w:sz w:val="16"/>
              </w:rPr>
              <w:t>-40 to suppress / reclassify</w:t>
            </w:r>
          </w:p>
        </w:tc>
        <w:tc>
          <w:tcPr>
            <w:tcW w:type="dxa" w:w="3213"/>
            <w:tcMar>
              <w:top w:w="100" w:type="dxa"/>
              <w:start w:w="110" w:type="dxa"/>
              <w:bottom w:w="100" w:type="dxa"/>
              <w:end w:w="110" w:type="dxa"/>
            </w:tcMar>
          </w:tcPr>
          <w:p>
            <w:r>
              <w:rPr>
                <w:b w:val="0"/>
                <w:sz w:val="16"/>
              </w:rPr>
              <w:t>Do not blindly mark safe; move to enterprise-mediated state and rely on other evidence.</w:t>
            </w:r>
          </w:p>
        </w:tc>
      </w:tr>
      <w:tr>
        <w:tc>
          <w:tcPr>
            <w:tcW w:type="dxa" w:w="3213"/>
            <w:tcMar>
              <w:top w:w="100" w:type="dxa"/>
              <w:start w:w="110" w:type="dxa"/>
              <w:bottom w:w="100" w:type="dxa"/>
              <w:end w:w="110" w:type="dxa"/>
            </w:tcMar>
          </w:tcPr>
          <w:p>
            <w:r>
              <w:rPr>
                <w:b w:val="0"/>
                <w:sz w:val="16"/>
              </w:rPr>
              <w:t>TLS interception / enterprise CA / proxy present</w:t>
            </w:r>
          </w:p>
        </w:tc>
        <w:tc>
          <w:tcPr>
            <w:tcW w:type="dxa" w:w="3213"/>
            <w:tcMar>
              <w:top w:w="100" w:type="dxa"/>
              <w:start w:w="110" w:type="dxa"/>
              <w:bottom w:w="100" w:type="dxa"/>
              <w:end w:w="110" w:type="dxa"/>
            </w:tcMar>
          </w:tcPr>
          <w:p>
            <w:r>
              <w:rPr>
                <w:b/>
                <w:sz w:val="16"/>
              </w:rPr>
              <w:t>0</w:t>
            </w:r>
          </w:p>
        </w:tc>
        <w:tc>
          <w:tcPr>
            <w:tcW w:type="dxa" w:w="3213"/>
            <w:tcMar>
              <w:top w:w="100" w:type="dxa"/>
              <w:start w:w="110" w:type="dxa"/>
              <w:bottom w:w="100" w:type="dxa"/>
              <w:end w:w="110" w:type="dxa"/>
            </w:tcMar>
          </w:tcPr>
          <w:p>
            <w:r>
              <w:rPr>
                <w:b w:val="0"/>
                <w:sz w:val="16"/>
              </w:rPr>
              <w:t>Diagnostic only; no malicious score.</w:t>
            </w:r>
          </w:p>
        </w:tc>
      </w:tr>
      <w:tr>
        <w:tc>
          <w:tcPr>
            <w:tcW w:type="dxa" w:w="3213"/>
            <w:tcMar>
              <w:top w:w="100" w:type="dxa"/>
              <w:start w:w="110" w:type="dxa"/>
              <w:bottom w:w="100" w:type="dxa"/>
              <w:end w:w="110" w:type="dxa"/>
            </w:tcMar>
          </w:tcPr>
          <w:p>
            <w:r>
              <w:rPr>
                <w:b w:val="0"/>
                <w:sz w:val="16"/>
              </w:rPr>
              <w:t>passkey/mfa/sso keyword in hostname</w:t>
            </w:r>
          </w:p>
        </w:tc>
        <w:tc>
          <w:tcPr>
            <w:tcW w:type="dxa" w:w="3213"/>
            <w:tcMar>
              <w:top w:w="100" w:type="dxa"/>
              <w:start w:w="110" w:type="dxa"/>
              <w:bottom w:w="100" w:type="dxa"/>
              <w:end w:w="110" w:type="dxa"/>
            </w:tcMar>
          </w:tcPr>
          <w:p>
            <w:r>
              <w:rPr>
                <w:b/>
                <w:sz w:val="16"/>
              </w:rPr>
              <w:t>0 alone</w:t>
            </w:r>
          </w:p>
        </w:tc>
        <w:tc>
          <w:tcPr>
            <w:tcW w:type="dxa" w:w="3213"/>
            <w:tcMar>
              <w:top w:w="100" w:type="dxa"/>
              <w:start w:w="110" w:type="dxa"/>
              <w:bottom w:w="100" w:type="dxa"/>
              <w:end w:w="110" w:type="dxa"/>
            </w:tcMar>
          </w:tcPr>
          <w:p>
            <w:r>
              <w:rPr>
                <w:b w:val="0"/>
                <w:sz w:val="16"/>
              </w:rPr>
              <w:t>May be contextual metadata, never a primary warning.</w:t>
            </w:r>
          </w:p>
        </w:tc>
      </w:tr>
    </w:tbl>
    <w:p>
      <w:r>
        <w:rPr>
          <w:b/>
        </w:rPr>
        <w:t xml:space="preserve">Illustrative decision thresholds: </w:t>
      </w:r>
      <w:r>
        <w:t>0-34 informational/no warning; 35-59 caution; 60-79 high-risk interstitial; 80+ critical warning. Calibrate with measured ROC/precision-recall data rather than treating these values as final constants.</w:t>
      </w:r>
    </w:p>
    <w:p>
      <w:pPr>
        <w:pStyle w:val="Heading1"/>
        <w:keepNext/>
      </w:pPr>
      <w:r>
        <w:t>13. Qwen implementation requirements - do not weaken</w:t>
      </w:r>
    </w:p>
    <w:p>
      <w:pPr>
        <w:pStyle w:val="ListNumber"/>
        <w:spacing w:after="60"/>
      </w:pPr>
      <w:r>
        <w:t>Implement the detector around identity-security semantics + origin integrity, not kit names or TLS interception.</w:t>
      </w:r>
    </w:p>
    <w:p>
      <w:pPr>
        <w:pStyle w:val="ListNumber"/>
        <w:spacing w:after="60"/>
      </w:pPr>
      <w:r>
        <w:t>Signal #1 MUST include password/login, OTP/MFA, device-code authorization, passkey/FIDO2/security-key enrollment, MFA migration, SSO setup, QR enrollment, and helpdesk/security-migration interaction states.</w:t>
      </w:r>
    </w:p>
    <w:p>
      <w:pPr>
        <w:pStyle w:val="ListNumber"/>
        <w:spacing w:after="60"/>
      </w:pPr>
      <w:r>
        <w:t>A domain containing passkey, mfa, sso, login, secure, auth, verify, or similar strings MUST NOT trigger a high-confidence alert by itself.</w:t>
      </w:r>
    </w:p>
    <w:p>
      <w:pPr>
        <w:pStyle w:val="ListNumber"/>
        <w:spacing w:after="60"/>
      </w:pPr>
      <w:r>
        <w:t>Certificate issuer, enterprise root CA, TLS interception, and “proxy detected” MUST carry zero malicious-risk weight by default.</w:t>
      </w:r>
    </w:p>
    <w:p>
      <w:pPr>
        <w:pStyle w:val="ListNumber"/>
        <w:spacing w:after="60"/>
      </w:pPr>
      <w:r>
        <w:t>CSP/HSTS/favicon/manifest absence MUST NOT block or warn by itself. Header/asset drift is corroboration only.</w:t>
      </w:r>
    </w:p>
    <w:p>
      <w:pPr>
        <w:pStyle w:val="ListNumber"/>
        <w:spacing w:after="60"/>
      </w:pPr>
      <w:r>
        <w:t>The resource-graph engine MUST aggregate multiple anomalies and normalize domains using the public suffix/eTLD+1 model.</w:t>
      </w:r>
    </w:p>
    <w:p>
      <w:pPr>
        <w:pStyle w:val="ListNumber"/>
        <w:spacing w:after="60"/>
      </w:pPr>
      <w:r>
        <w:t>Enterprise mediation MUST be modeled explicitly: policy/user allowlists for ZTNA/custom IdP domains, with a distinct mediated state.</w:t>
      </w:r>
    </w:p>
    <w:p>
      <w:pPr>
        <w:pStyle w:val="ListNumber"/>
        <w:spacing w:after="60"/>
      </w:pPr>
      <w:r>
        <w:t>Default consumer mode SHOULD use activeTab + scripting. Broad host access MUST be optional or policy-managed. Header inspection MUST be modular so the core detector works without it.</w:t>
      </w:r>
    </w:p>
    <w:p>
      <w:pPr>
        <w:pStyle w:val="ListNumber"/>
        <w:spacing w:after="60"/>
      </w:pPr>
      <w:r>
        <w:t>Any high-confidence warning MUST explain the evidence in plain language (e.g., “This page is asking you to register a passkey for Microsoft, but the page is hosted on example.tld”).</w:t>
      </w:r>
    </w:p>
    <w:p>
      <w:pPr>
        <w:pStyle w:val="ListNumber"/>
        <w:spacing w:after="60"/>
      </w:pPr>
      <w:r>
        <w:t>Build a test harness with both malicious reverse-proxy samples and legitimate enterprise-proxy/ZTNA fixtures before tuning thresholds.</w:t>
      </w:r>
    </w:p>
    <w:p>
      <w:pPr>
        <w:pStyle w:val="Heading1"/>
        <w:keepNext/>
      </w:pPr>
      <w:r>
        <w:t>14. Validation matrix</w:t>
      </w:r>
    </w:p>
    <w:tbl>
      <w:tblPr>
        <w:tblW w:type="auto" w:w="0"/>
        <w:jc w:val="center"/>
        <w:tblLook w:firstColumn="1" w:firstRow="1" w:lastColumn="0" w:lastRow="0" w:noHBand="0" w:noVBand="1" w:val="04A0"/>
        <w:tblBorders>
          <w:top w:val="single" w:sz="6" w:color="D1D9E6"/>
          <w:left w:val="single" w:sz="6" w:color="D1D9E6"/>
          <w:bottom w:val="single" w:sz="6" w:color="D1D9E6"/>
          <w:right w:val="single" w:sz="6" w:color="D1D9E6"/>
          <w:insideH w:val="single" w:sz="6" w:color="D1D9E6"/>
          <w:insideV w:val="single" w:sz="6" w:color="D1D9E6"/>
        </w:tblBorders>
      </w:tblPr>
      <w:tblGrid>
        <w:gridCol w:w="4819"/>
        <w:gridCol w:w="4819"/>
      </w:tblGrid>
      <w:tr>
        <w:tc>
          <w:tcPr>
            <w:tcW w:type="dxa" w:w="4819"/>
            <w:shd w:fill="173A70"/>
          </w:tcPr>
          <w:p>
            <w:r>
              <w:rPr>
                <w:b/>
                <w:color w:val="FFFFFF"/>
                <w:sz w:val="18"/>
              </w:rPr>
              <w:t>Scenario</w:t>
            </w:r>
          </w:p>
        </w:tc>
        <w:tc>
          <w:tcPr>
            <w:tcW w:type="dxa" w:w="4819"/>
            <w:shd w:fill="173A70"/>
          </w:tcPr>
          <w:p>
            <w:r>
              <w:rPr>
                <w:b/>
                <w:color w:val="FFFFFF"/>
                <w:sz w:val="18"/>
              </w:rPr>
              <w:t>Expected behavior</w:t>
            </w:r>
          </w:p>
        </w:tc>
      </w:tr>
      <w:tr>
        <w:tc>
          <w:tcPr>
            <w:tcW w:type="dxa" w:w="4819"/>
            <w:tcMar>
              <w:top w:w="100" w:type="dxa"/>
              <w:start w:w="110" w:type="dxa"/>
              <w:bottom w:w="100" w:type="dxa"/>
              <w:end w:w="110" w:type="dxa"/>
            </w:tcMar>
          </w:tcPr>
          <w:p>
            <w:r>
              <w:rPr>
                <w:b/>
                <w:sz w:val="17"/>
              </w:rPr>
              <w:t>Legitimate Microsoft/Google/Okta login, direct internet</w:t>
            </w:r>
          </w:p>
        </w:tc>
        <w:tc>
          <w:tcPr>
            <w:tcW w:type="dxa" w:w="4819"/>
            <w:tcMar>
              <w:top w:w="100" w:type="dxa"/>
              <w:start w:w="110" w:type="dxa"/>
              <w:bottom w:w="100" w:type="dxa"/>
              <w:end w:w="110" w:type="dxa"/>
            </w:tcMar>
          </w:tcPr>
          <w:p>
            <w:r>
              <w:rPr>
                <w:b w:val="0"/>
                <w:sz w:val="17"/>
              </w:rPr>
              <w:t>No high-risk alert; establishes baseline resource graph and security interaction semantics.</w:t>
            </w:r>
          </w:p>
        </w:tc>
      </w:tr>
      <w:tr>
        <w:tc>
          <w:tcPr>
            <w:tcW w:type="dxa" w:w="4819"/>
            <w:tcMar>
              <w:top w:w="100" w:type="dxa"/>
              <w:start w:w="110" w:type="dxa"/>
              <w:bottom w:w="100" w:type="dxa"/>
              <w:end w:w="110" w:type="dxa"/>
            </w:tcMar>
          </w:tcPr>
          <w:p>
            <w:r>
              <w:rPr>
                <w:b/>
                <w:sz w:val="17"/>
              </w:rPr>
              <w:t>Same login behind Zscaler TLS inspection</w:t>
            </w:r>
          </w:p>
        </w:tc>
        <w:tc>
          <w:tcPr>
            <w:tcW w:type="dxa" w:w="4819"/>
            <w:tcMar>
              <w:top w:w="100" w:type="dxa"/>
              <w:start w:w="110" w:type="dxa"/>
              <w:bottom w:w="100" w:type="dxa"/>
              <w:end w:w="110" w:type="dxa"/>
            </w:tcMar>
          </w:tcPr>
          <w:p>
            <w:r>
              <w:rPr>
                <w:b w:val="0"/>
                <w:sz w:val="17"/>
              </w:rPr>
              <w:t>No high-risk alert solely from certificate/header/TLS changes.</w:t>
            </w:r>
          </w:p>
        </w:tc>
      </w:tr>
      <w:tr>
        <w:tc>
          <w:tcPr>
            <w:tcW w:type="dxa" w:w="4819"/>
            <w:tcMar>
              <w:top w:w="100" w:type="dxa"/>
              <w:start w:w="110" w:type="dxa"/>
              <w:bottom w:w="100" w:type="dxa"/>
              <w:end w:w="110" w:type="dxa"/>
            </w:tcMar>
          </w:tcPr>
          <w:p>
            <w:r>
              <w:rPr>
                <w:b/>
                <w:sz w:val="17"/>
              </w:rPr>
              <w:t>Same login behind Cloudflare Gateway TLS decryption/header policy</w:t>
            </w:r>
          </w:p>
        </w:tc>
        <w:tc>
          <w:tcPr>
            <w:tcW w:type="dxa" w:w="4819"/>
            <w:tcMar>
              <w:top w:w="100" w:type="dxa"/>
              <w:start w:w="110" w:type="dxa"/>
              <w:bottom w:w="100" w:type="dxa"/>
              <w:end w:w="110" w:type="dxa"/>
            </w:tcMar>
          </w:tcPr>
          <w:p>
            <w:r>
              <w:rPr>
                <w:b w:val="0"/>
                <w:sz w:val="17"/>
              </w:rPr>
              <w:t>No high-risk alert solely from interception or header modification.</w:t>
            </w:r>
          </w:p>
        </w:tc>
      </w:tr>
      <w:tr>
        <w:tc>
          <w:tcPr>
            <w:tcW w:type="dxa" w:w="4819"/>
            <w:tcMar>
              <w:top w:w="100" w:type="dxa"/>
              <w:start w:w="110" w:type="dxa"/>
              <w:bottom w:w="100" w:type="dxa"/>
              <w:end w:w="110" w:type="dxa"/>
            </w:tcMar>
          </w:tcPr>
          <w:p>
            <w:r>
              <w:rPr>
                <w:b/>
                <w:sz w:val="17"/>
              </w:rPr>
              <w:t>Netskope Browser Access/custom hostname to internal app</w:t>
            </w:r>
          </w:p>
        </w:tc>
        <w:tc>
          <w:tcPr>
            <w:tcW w:type="dxa" w:w="4819"/>
            <w:tcMar>
              <w:top w:w="100" w:type="dxa"/>
              <w:start w:w="110" w:type="dxa"/>
              <w:bottom w:w="100" w:type="dxa"/>
              <w:end w:w="110" w:type="dxa"/>
            </w:tcMar>
          </w:tcPr>
          <w:p>
            <w:r>
              <w:rPr>
                <w:b w:val="0"/>
                <w:sz w:val="17"/>
              </w:rPr>
              <w:t>Recognize enterprise mediation; avoid proxy-is-malicious classification.</w:t>
            </w:r>
          </w:p>
        </w:tc>
      </w:tr>
      <w:tr>
        <w:tc>
          <w:tcPr>
            <w:tcW w:type="dxa" w:w="4819"/>
            <w:tcMar>
              <w:top w:w="100" w:type="dxa"/>
              <w:start w:w="110" w:type="dxa"/>
              <w:bottom w:w="100" w:type="dxa"/>
              <w:end w:w="110" w:type="dxa"/>
            </w:tcMar>
          </w:tcPr>
          <w:p>
            <w:r>
              <w:rPr>
                <w:b/>
                <w:sz w:val="17"/>
              </w:rPr>
              <w:t>Evilginx-style reverse-proxy login on unrelated domain</w:t>
            </w:r>
          </w:p>
        </w:tc>
        <w:tc>
          <w:tcPr>
            <w:tcW w:type="dxa" w:w="4819"/>
            <w:tcMar>
              <w:top w:w="100" w:type="dxa"/>
              <w:start w:w="110" w:type="dxa"/>
              <w:bottom w:w="100" w:type="dxa"/>
              <w:end w:w="110" w:type="dxa"/>
            </w:tcMar>
          </w:tcPr>
          <w:p>
            <w:r>
              <w:rPr>
                <w:b w:val="0"/>
                <w:sz w:val="17"/>
              </w:rPr>
              <w:t>Signal #1 + #2 should cross high-risk threshold.</w:t>
            </w:r>
          </w:p>
        </w:tc>
      </w:tr>
      <w:tr>
        <w:tc>
          <w:tcPr>
            <w:tcW w:type="dxa" w:w="4819"/>
            <w:tcMar>
              <w:top w:w="100" w:type="dxa"/>
              <w:start w:w="110" w:type="dxa"/>
              <w:bottom w:w="100" w:type="dxa"/>
              <w:end w:w="110" w:type="dxa"/>
            </w:tcMar>
          </w:tcPr>
          <w:p>
            <w:r>
              <w:rPr>
                <w:b/>
                <w:sz w:val="17"/>
              </w:rPr>
              <w:t>Static credential phish with Microsoft branding on unrelated domain</w:t>
            </w:r>
          </w:p>
        </w:tc>
        <w:tc>
          <w:tcPr>
            <w:tcW w:type="dxa" w:w="4819"/>
            <w:tcMar>
              <w:top w:w="100" w:type="dxa"/>
              <w:start w:w="110" w:type="dxa"/>
              <w:bottom w:w="100" w:type="dxa"/>
              <w:end w:w="110" w:type="dxa"/>
            </w:tcMar>
          </w:tcPr>
          <w:p>
            <w:r>
              <w:rPr>
                <w:b w:val="0"/>
                <w:sz w:val="17"/>
              </w:rPr>
              <w:t>Signal #1 should be strong even if no reverse-proxy graph exists.</w:t>
            </w:r>
          </w:p>
        </w:tc>
      </w:tr>
      <w:tr>
        <w:tc>
          <w:tcPr>
            <w:tcW w:type="dxa" w:w="4819"/>
            <w:tcMar>
              <w:top w:w="100" w:type="dxa"/>
              <w:start w:w="110" w:type="dxa"/>
              <w:bottom w:w="100" w:type="dxa"/>
              <w:end w:w="110" w:type="dxa"/>
            </w:tcMar>
          </w:tcPr>
          <w:p>
            <w:r>
              <w:rPr>
                <w:b/>
                <w:sz w:val="17"/>
              </w:rPr>
              <w:t>Device-code lure on unrelated origin sending user to genuine Microsoft device login</w:t>
            </w:r>
          </w:p>
        </w:tc>
        <w:tc>
          <w:tcPr>
            <w:tcW w:type="dxa" w:w="4819"/>
            <w:tcMar>
              <w:top w:w="100" w:type="dxa"/>
              <w:start w:w="110" w:type="dxa"/>
              <w:bottom w:w="100" w:type="dxa"/>
              <w:end w:w="110" w:type="dxa"/>
            </w:tcMar>
          </w:tcPr>
          <w:p>
            <w:r>
              <w:rPr>
                <w:b w:val="0"/>
                <w:sz w:val="17"/>
              </w:rPr>
              <w:t>Signal #3 should be strong; genuine downstream IdP domain must not erase initiating-origin risk.</w:t>
            </w:r>
          </w:p>
        </w:tc>
      </w:tr>
      <w:tr>
        <w:tc>
          <w:tcPr>
            <w:tcW w:type="dxa" w:w="4819"/>
            <w:tcMar>
              <w:top w:w="100" w:type="dxa"/>
              <w:start w:w="110" w:type="dxa"/>
              <w:bottom w:w="100" w:type="dxa"/>
              <w:end w:w="110" w:type="dxa"/>
            </w:tcMar>
          </w:tcPr>
          <w:p>
            <w:r>
              <w:rPr>
                <w:b/>
                <w:sz w:val="17"/>
              </w:rPr>
              <w:t>Passkey-enrollment/helpdesk lure similar to UNC6671</w:t>
            </w:r>
          </w:p>
        </w:tc>
        <w:tc>
          <w:tcPr>
            <w:tcW w:type="dxa" w:w="4819"/>
            <w:tcMar>
              <w:top w:w="100" w:type="dxa"/>
              <w:start w:w="110" w:type="dxa"/>
              <w:bottom w:w="100" w:type="dxa"/>
              <w:end w:w="110" w:type="dxa"/>
            </w:tcMar>
          </w:tcPr>
          <w:p>
            <w:r>
              <w:rPr>
                <w:b w:val="0"/>
                <w:sz w:val="17"/>
              </w:rPr>
              <w:t>Signal #1 should detect security-enrollment interaction + origin mismatch; hostname keywords remain zero-weight alone.</w:t>
            </w:r>
          </w:p>
        </w:tc>
      </w:tr>
      <w:tr>
        <w:tc>
          <w:tcPr>
            <w:tcW w:type="dxa" w:w="4819"/>
            <w:tcMar>
              <w:top w:w="100" w:type="dxa"/>
              <w:start w:w="110" w:type="dxa"/>
              <w:bottom w:w="100" w:type="dxa"/>
              <w:end w:w="110" w:type="dxa"/>
            </w:tcMar>
          </w:tcPr>
          <w:p>
            <w:r>
              <w:rPr>
                <w:b/>
                <w:sz w:val="17"/>
              </w:rPr>
              <w:t>Legitimate article/documentation mentioning “passkey” or “MFA migration”</w:t>
            </w:r>
          </w:p>
        </w:tc>
        <w:tc>
          <w:tcPr>
            <w:tcW w:type="dxa" w:w="4819"/>
            <w:tcMar>
              <w:top w:w="100" w:type="dxa"/>
              <w:start w:w="110" w:type="dxa"/>
              <w:bottom w:w="100" w:type="dxa"/>
              <w:end w:w="110" w:type="dxa"/>
            </w:tcMar>
          </w:tcPr>
          <w:p>
            <w:r>
              <w:rPr>
                <w:b w:val="0"/>
                <w:sz w:val="17"/>
              </w:rPr>
              <w:t>No warning unless interactive enrollment/authentication semantics are present.</w:t>
            </w:r>
          </w:p>
        </w:tc>
      </w:tr>
      <w:tr>
        <w:tc>
          <w:tcPr>
            <w:tcW w:type="dxa" w:w="4819"/>
            <w:tcMar>
              <w:top w:w="100" w:type="dxa"/>
              <w:start w:w="110" w:type="dxa"/>
              <w:bottom w:w="100" w:type="dxa"/>
              <w:end w:w="110" w:type="dxa"/>
            </w:tcMar>
          </w:tcPr>
          <w:p>
            <w:r>
              <w:rPr>
                <w:b/>
                <w:sz w:val="17"/>
              </w:rPr>
              <w:t>Broken CDN/favicon/manifest on legitimate IdP</w:t>
            </w:r>
          </w:p>
        </w:tc>
        <w:tc>
          <w:tcPr>
            <w:tcW w:type="dxa" w:w="4819"/>
            <w:tcMar>
              <w:top w:w="100" w:type="dxa"/>
              <w:start w:w="110" w:type="dxa"/>
              <w:bottom w:w="100" w:type="dxa"/>
              <w:end w:w="110" w:type="dxa"/>
            </w:tcMar>
          </w:tcPr>
          <w:p>
            <w:r>
              <w:rPr>
                <w:b w:val="0"/>
                <w:sz w:val="17"/>
              </w:rPr>
              <w:t>Signal #4 alone must remain below warning threshold.</w:t>
            </w:r>
          </w:p>
        </w:tc>
      </w:tr>
    </w:tbl>
    <w:p>
      <w:pPr>
        <w:pStyle w:val="Heading1"/>
        <w:keepNext/>
      </w:pPr>
      <w:r>
        <w:t>15. Explicit non-goals</w:t>
      </w:r>
    </w:p>
    <w:p>
      <w:pPr>
        <w:pStyle w:val="ListBullet"/>
        <w:spacing w:after="60"/>
      </w:pPr>
      <w:r>
        <w:t>Do not claim certainty that a page is Evilginx/Muraena/Modlishka/Tycoon solely from client-side artifacts.</w:t>
      </w:r>
    </w:p>
    <w:p>
      <w:pPr>
        <w:pStyle w:val="ListBullet"/>
        <w:spacing w:after="60"/>
      </w:pPr>
      <w:r>
        <w:t>Do not become a certificate-inspection product or generic corporate-proxy detector.</w:t>
      </w:r>
    </w:p>
    <w:p>
      <w:pPr>
        <w:pStyle w:val="ListBullet"/>
        <w:spacing w:after="60"/>
      </w:pPr>
      <w:r>
        <w:t>Do not require webRequest or &lt;all_urls&gt; for the minimum viable detector.</w:t>
      </w:r>
    </w:p>
    <w:p>
      <w:pPr>
        <w:pStyle w:val="ListBullet"/>
        <w:spacing w:after="60"/>
      </w:pPr>
      <w:r>
        <w:t>Do not make blocklists, domain age, certificate age, or exact kit fingerprints the primary detection mechanism.</w:t>
      </w:r>
    </w:p>
    <w:p>
      <w:pPr>
        <w:pStyle w:val="ListBullet"/>
        <w:spacing w:after="60"/>
      </w:pPr>
      <w:r>
        <w:t>Do not treat server-side mitigations as a reason to remove browser warnings; use the extension to stop the user before the authentication/consent/enrollment action occurs.</w:t>
      </w:r>
    </w:p>
    <w:p>
      <w:pPr>
        <w:pStyle w:val="Heading1"/>
        <w:keepNext/>
      </w:pPr>
      <w:r>
        <w:t>16. Sources and evidence map</w:t>
      </w:r>
    </w:p>
    <w:p>
      <w:pPr>
        <w:spacing w:after="80"/>
      </w:pPr>
      <w:r>
        <w:rPr>
          <w:b/>
        </w:rPr>
        <w:t xml:space="preserve">[R1] Google Threat Intelligence Group / Mandiant. </w:t>
      </w:r>
      <w:r>
        <w:t xml:space="preserve">UNC6671 Rebrands: Multi-Brand Vishing Extortion Targets Financial Services and Enterprise Cloud Environments. 2026-08-06. </w:t>
      </w:r>
      <w:hyperlink r:id="rId11">
        <w:r>
          <w:rPr>
            <w:color w:val="0563C1"/>
            <w:u w:val="single"/>
          </w:rPr>
          <w:t>https://cloud.google.com/blog/topics/threat-intelligence/unc6671-targets-financial-services-and-enterprise-cloud-environments</w:t>
        </w:r>
      </w:hyperlink>
    </w:p>
    <w:p>
      <w:pPr>
        <w:spacing w:after="80"/>
      </w:pPr>
      <w:r>
        <w:rPr>
          <w:b/>
        </w:rPr>
        <w:t xml:space="preserve">[R2] Microsoft Security. </w:t>
      </w:r>
      <w:r>
        <w:t xml:space="preserve">Inside Tycoon2FA: How a leading AiTM phishing kit operated at scale. 2026-03-04. </w:t>
      </w:r>
      <w:hyperlink r:id="rId12">
        <w:r>
          <w:rPr>
            <w:color w:val="0563C1"/>
            <w:u w:val="single"/>
          </w:rPr>
          <w:t>https://www.microsoft.com/en-us/security/blog/2026/03/04/inside-tycoon2fa-how-a-leading-aitm-phishing-kit-operated-at-scale/</w:t>
        </w:r>
      </w:hyperlink>
    </w:p>
    <w:p>
      <w:pPr>
        <w:spacing w:after="80"/>
      </w:pPr>
      <w:r>
        <w:rPr>
          <w:b/>
        </w:rPr>
        <w:t xml:space="preserve">[R3] Proofpoint Threat Research. </w:t>
      </w:r>
      <w:r>
        <w:t xml:space="preserve">Device Code Phishing is an Evolution in Identity Takeover. 2026-05-13. </w:t>
      </w:r>
      <w:hyperlink r:id="rId13">
        <w:r>
          <w:rPr>
            <w:color w:val="0563C1"/>
            <w:u w:val="single"/>
          </w:rPr>
          <w:t>https://www.proofpoint.com/us/blog/threat-insight/device-code-phishing-evolution-identity-takeover</w:t>
        </w:r>
      </w:hyperlink>
    </w:p>
    <w:p>
      <w:pPr>
        <w:spacing w:after="80"/>
      </w:pPr>
      <w:r>
        <w:rPr>
          <w:b/>
        </w:rPr>
        <w:t xml:space="preserve">[R4] Mandiant / Google Cloud. </w:t>
      </w:r>
      <w:r>
        <w:t xml:space="preserve">BitM Up! Session Stealing in Seconds Using the Browser-in-the-Middle Technique. 2025. </w:t>
      </w:r>
      <w:hyperlink r:id="rId14">
        <w:r>
          <w:rPr>
            <w:color w:val="0563C1"/>
            <w:u w:val="single"/>
          </w:rPr>
          <w:t>https://cloud.google.com/blog/topics/threat-intelligence/session-stealing-browser-in-the-middle</w:t>
        </w:r>
      </w:hyperlink>
    </w:p>
    <w:p>
      <w:pPr>
        <w:spacing w:after="80"/>
      </w:pPr>
      <w:r>
        <w:rPr>
          <w:b/>
        </w:rPr>
        <w:t xml:space="preserve">[R5] ACM CCS. </w:t>
      </w:r>
      <w:r>
        <w:t xml:space="preserve">Analyzing and Detecting MITM Phishing Toolkits. 2021. </w:t>
      </w:r>
      <w:hyperlink r:id="rId15">
        <w:r>
          <w:rPr>
            <w:color w:val="0563C1"/>
            <w:u w:val="single"/>
          </w:rPr>
          <w:t>https://dl.acm.org/doi/10.1145/3460120.3484765</w:t>
        </w:r>
      </w:hyperlink>
    </w:p>
    <w:p>
      <w:pPr>
        <w:spacing w:after="80"/>
      </w:pPr>
      <w:r>
        <w:rPr>
          <w:b/>
        </w:rPr>
        <w:t xml:space="preserve">[R6] Jensen George Wood, BYU. </w:t>
      </w:r>
      <w:r>
        <w:t xml:space="preserve">Hypertext Transfer Protocol Fingerprinting: Techniques for Attacker-in-the-Middle Proxy Detection, Evasion, and Counter-Evasion. 2026. </w:t>
      </w:r>
      <w:hyperlink r:id="rId16">
        <w:r>
          <w:rPr>
            <w:color w:val="0563C1"/>
            <w:u w:val="single"/>
          </w:rPr>
          <w:t>https://scholarsarchive.byu.edu/etd/11206/</w:t>
        </w:r>
      </w:hyperlink>
    </w:p>
    <w:p>
      <w:pPr>
        <w:spacing w:after="80"/>
      </w:pPr>
      <w:r>
        <w:rPr>
          <w:b/>
        </w:rPr>
        <w:t xml:space="preserve">[R7] Evilginx author repository. </w:t>
      </w:r>
      <w:r>
        <w:t xml:space="preserve">Evilginx2 releases / changelog. current repo, reviewed 2026-08-10. </w:t>
      </w:r>
      <w:hyperlink r:id="rId17">
        <w:r>
          <w:rPr>
            <w:color w:val="0563C1"/>
            <w:u w:val="single"/>
          </w:rPr>
          <w:t>https://github.com/kgretzky/evilginx2/releases</w:t>
        </w:r>
      </w:hyperlink>
    </w:p>
    <w:p>
      <w:pPr>
        <w:spacing w:after="80"/>
      </w:pPr>
      <w:r>
        <w:rPr>
          <w:b/>
        </w:rPr>
        <w:t xml:space="preserve">[R8] Chrome for Developers. </w:t>
      </w:r>
      <w:r>
        <w:t xml:space="preserve">The activeTab permission. current docs, reviewed 2026-08-10. </w:t>
      </w:r>
      <w:hyperlink r:id="rId18">
        <w:r>
          <w:rPr>
            <w:color w:val="0563C1"/>
            <w:u w:val="single"/>
          </w:rPr>
          <w:t>https://developer.chrome.com/docs/extensions/develop/concepts/activeTab</w:t>
        </w:r>
      </w:hyperlink>
    </w:p>
    <w:p>
      <w:pPr>
        <w:spacing w:after="80"/>
      </w:pPr>
      <w:r>
        <w:rPr>
          <w:b/>
        </w:rPr>
        <w:t xml:space="preserve">[R9] Chrome for Developers. </w:t>
      </w:r>
      <w:r>
        <w:t xml:space="preserve">chrome.webRequest API. current docs, reviewed 2026-08-10. </w:t>
      </w:r>
      <w:hyperlink r:id="rId19">
        <w:r>
          <w:rPr>
            <w:color w:val="0563C1"/>
            <w:u w:val="single"/>
          </w:rPr>
          <w:t>https://developer.chrome.com/docs/extensions/reference/api/webRequest</w:t>
        </w:r>
      </w:hyperlink>
    </w:p>
    <w:p>
      <w:pPr>
        <w:spacing w:after="80"/>
      </w:pPr>
      <w:r>
        <w:rPr>
          <w:b/>
        </w:rPr>
        <w:t xml:space="preserve">[R10] Chrome for Developers. </w:t>
      </w:r>
      <w:r>
        <w:t xml:space="preserve">chrome.declarativeNetRequest API. current docs, reviewed 2026-08-10. </w:t>
      </w:r>
      <w:hyperlink r:id="rId20">
        <w:r>
          <w:rPr>
            <w:color w:val="0563C1"/>
            <w:u w:val="single"/>
          </w:rPr>
          <w:t>https://developer.chrome.com/docs/extensions/reference/api/declarativeNetRequest</w:t>
        </w:r>
      </w:hyperlink>
    </w:p>
    <w:p>
      <w:pPr>
        <w:spacing w:after="80"/>
      </w:pPr>
      <w:r>
        <w:rPr>
          <w:b/>
        </w:rPr>
        <w:t xml:space="preserve">[R11] Zscaler. </w:t>
      </w:r>
      <w:r>
        <w:t xml:space="preserve">Understanding SSL/TLS Inspection. current docs, reviewed 2026-08-10. </w:t>
      </w:r>
      <w:hyperlink r:id="rId21">
        <w:r>
          <w:rPr>
            <w:color w:val="0563C1"/>
            <w:u w:val="single"/>
          </w:rPr>
          <w:t>https://help.zscaler.com/zia/understanding-ssltls-inspection</w:t>
        </w:r>
      </w:hyperlink>
    </w:p>
    <w:p>
      <w:pPr>
        <w:spacing w:after="80"/>
      </w:pPr>
      <w:r>
        <w:rPr>
          <w:b/>
        </w:rPr>
        <w:t xml:space="preserve">[R12] Cloudflare One. </w:t>
      </w:r>
      <w:r>
        <w:t xml:space="preserve">TLS decryption. updated 2026-06-08. </w:t>
      </w:r>
      <w:hyperlink r:id="rId22">
        <w:r>
          <w:rPr>
            <w:color w:val="0563C1"/>
            <w:u w:val="single"/>
          </w:rPr>
          <w:t>https://developers.cloudflare.com/cloudflare-one/traffic-policies/http-policies/tls-decryption/</w:t>
        </w:r>
      </w:hyperlink>
    </w:p>
    <w:p>
      <w:pPr>
        <w:spacing w:after="80"/>
      </w:pPr>
      <w:r>
        <w:rPr>
          <w:b/>
        </w:rPr>
        <w:t xml:space="preserve">[R13] Cloudflare One. </w:t>
      </w:r>
      <w:r>
        <w:t xml:space="preserve">Modify HTTP request headers in Gateway. updated 2026-07-30. </w:t>
      </w:r>
      <w:hyperlink r:id="rId23">
        <w:r>
          <w:rPr>
            <w:color w:val="0563C1"/>
            <w:u w:val="single"/>
          </w:rPr>
          <w:t>https://developers.cloudflare.com/cloudflare-one/traffic-policies/http-policies/tenant-control/</w:t>
        </w:r>
      </w:hyperlink>
    </w:p>
    <w:p>
      <w:pPr>
        <w:spacing w:after="80"/>
      </w:pPr>
      <w:r>
        <w:rPr>
          <w:b/>
        </w:rPr>
        <w:t xml:space="preserve">[R14] Netskope. </w:t>
      </w:r>
      <w:r>
        <w:t xml:space="preserve">Configure Browser Access with URL Rewrite. current docs, reviewed 2026-08-10. </w:t>
      </w:r>
      <w:hyperlink r:id="rId24">
        <w:r>
          <w:rPr>
            <w:color w:val="0563C1"/>
            <w:u w:val="single"/>
          </w:rPr>
          <w:t>https://docs.netskope.com/de/configure-browser-access-with-url-rewrite</w:t>
        </w:r>
      </w:hyperlink>
    </w:p>
    <w:p>
      <w:pPr>
        <w:spacing w:after="80"/>
      </w:pPr>
      <w:r>
        <w:rPr>
          <w:b/>
        </w:rPr>
        <w:t xml:space="preserve">[R15] Netskope. </w:t>
      </w:r>
      <w:r>
        <w:t xml:space="preserve">Certificates / TLS interception CA documentation. current docs, reviewed 2026-08-10. </w:t>
      </w:r>
      <w:hyperlink r:id="rId25">
        <w:r>
          <w:rPr>
            <w:color w:val="0563C1"/>
            <w:u w:val="single"/>
          </w:rPr>
          <w:t>https://docs.netskope.com/es/certificates</w:t>
        </w:r>
      </w:hyperlink>
    </w:p>
    <w:p>
      <w:pPr>
        <w:spacing w:after="80"/>
      </w:pPr>
      <w:r>
        <w:rPr>
          <w:b/>
        </w:rPr>
        <w:t xml:space="preserve">[R16] Microsoft Learn. </w:t>
      </w:r>
      <w:r>
        <w:t xml:space="preserve">Token Protection in Microsoft Entra Conditional Access. updated 2026-03-24. </w:t>
      </w:r>
      <w:hyperlink r:id="rId26">
        <w:r>
          <w:rPr>
            <w:color w:val="0563C1"/>
            <w:u w:val="single"/>
          </w:rPr>
          <w:t>https://learn.microsoft.com/en-us/entra/identity/conditional-access/concept-token-protection</w:t>
        </w:r>
      </w:hyperlink>
    </w:p>
    <w:p>
      <w:pPr>
        <w:spacing w:after="80"/>
      </w:pPr>
      <w:r>
        <w:rPr>
          <w:b/>
        </w:rPr>
        <w:t xml:space="preserve">[R17] Microsoft Learn. </w:t>
      </w:r>
      <w:r>
        <w:t xml:space="preserve">Continuous access evaluation in Microsoft Entra. updated 2026-04-08. </w:t>
      </w:r>
      <w:hyperlink r:id="rId27">
        <w:r>
          <w:rPr>
            <w:color w:val="0563C1"/>
            <w:u w:val="single"/>
          </w:rPr>
          <w:t>https://learn.microsoft.com/en-us/entra/identity/conditional-access/concept-continuous-access-evaluation</w:t>
        </w:r>
      </w:hyperlink>
    </w:p>
    <w:p>
      <w:pPr>
        <w:spacing w:after="80"/>
      </w:pPr>
      <w:r>
        <w:rPr>
          <w:b/>
        </w:rPr>
        <w:t xml:space="preserve">[R18] Chrome for Developers. </w:t>
      </w:r>
      <w:r>
        <w:t xml:space="preserve">Chrome updates - Device Bound Session Credentials available in Chrome 145 on Windows. 2026. </w:t>
      </w:r>
      <w:hyperlink r:id="rId28">
        <w:r>
          <w:rPr>
            <w:color w:val="0563C1"/>
            <w:u w:val="single"/>
          </w:rPr>
          <w:t>https://developers.google.com/web/updates/</w:t>
        </w:r>
      </w:hyperlink>
    </w:p>
    <w:p>
      <w:pPr>
        <w:spacing w:after="80"/>
      </w:pPr>
      <w:r>
        <w:rPr>
          <w:b/>
        </w:rPr>
        <w:t xml:space="preserve">[R19] Microsoft Security. </w:t>
      </w:r>
      <w:r>
        <w:t xml:space="preserve">Inside an AI-enabled device code phishing campaign. 2026-04-06. </w:t>
      </w:r>
      <w:hyperlink r:id="rId29">
        <w:r>
          <w:rPr>
            <w:color w:val="0563C1"/>
            <w:u w:val="single"/>
          </w:rPr>
          <w:t>https://www.microsoft.com/en-us/security/blog/2026/04/06/ai-enabled-device-code-phishing-campaign-april-2026/</w:t>
        </w:r>
      </w:hyperlink>
    </w:p>
    <w:p>
      <w:pPr>
        <w:spacing w:after="80"/>
      </w:pPr>
      <w:r>
        <w:rPr>
          <w:b/>
        </w:rPr>
        <w:t xml:space="preserve">[R20] Muraena project. </w:t>
      </w:r>
      <w:r>
        <w:t xml:space="preserve">muraenateam/muraena repository. current repo, reviewed 2026-08-10. </w:t>
      </w:r>
      <w:hyperlink r:id="rId30">
        <w:r>
          <w:rPr>
            <w:color w:val="0563C1"/>
            <w:u w:val="single"/>
          </w:rPr>
          <w:t>https://github.com/muraenateam/muraena</w:t>
        </w:r>
      </w:hyperlink>
    </w:p>
    <w:p>
      <w:pPr>
        <w:spacing w:after="80"/>
      </w:pPr>
      <w:r>
        <w:rPr>
          <w:b/>
        </w:rPr>
        <w:t xml:space="preserve">[R21] Modlishka project. </w:t>
      </w:r>
      <w:r>
        <w:t xml:space="preserve">drk1wi/Modlishka repository. current repo, reviewed 2026-08-10. </w:t>
      </w:r>
      <w:hyperlink r:id="rId31">
        <w:r>
          <w:rPr>
            <w:color w:val="0563C1"/>
            <w:u w:val="single"/>
          </w:rPr>
          <w:t>https://github.com/drk1wi/Modlishka</w:t>
        </w:r>
      </w:hyperlink>
    </w:p>
    <w:p>
      <w:pPr>
        <w:spacing w:after="80"/>
      </w:pPr>
      <w:r>
        <w:rPr>
          <w:b/>
        </w:rPr>
        <w:t xml:space="preserve">[R22] CISA. </w:t>
      </w:r>
      <w:r>
        <w:t xml:space="preserve">AA26-204A: Russian State-Supported Cyber Actors Conduct Phishing Campaign Targeting Users of Zimbra Collaboration Suite. 2026-07-23. </w:t>
      </w:r>
      <w:hyperlink r:id="rId32">
        <w:r>
          <w:rPr>
            <w:color w:val="0563C1"/>
            <w:u w:val="single"/>
          </w:rPr>
          <w:t>https://www.cisa.gov/news-events/cybersecurity-advisories/aa26-204a</w:t>
        </w:r>
      </w:hyperlink>
    </w:p>
    <w:p>
      <w:pPr>
        <w:pStyle w:val="SmallNote"/>
      </w:pPr>
      <w:r>
        <w:t>Source note: CISA AA26-204A was reviewed as requested for current phishing context; it did not materially alter the client-side signal ranking. The load-bearing MV3 permission claims are grounded in current Chrome documentation, while the August 2026 design delta is grounded in the GTIG/Mandiant UNC6671 report.</w:t>
      </w:r>
    </w:p>
    <w:p>
      <w:pPr>
        <w:pStyle w:val="Heading1"/>
        <w:keepNext/>
      </w:pPr>
      <w:r>
        <w:t>17. One-paragraph handoff to the implementation agent</w:t>
      </w:r>
    </w:p>
    <w:p>
      <w:r>
        <w:rPr>
          <w:b/>
        </w:rPr>
        <w:t xml:space="preserve">Build the MV3 detector as an origin-integrity system for security-sensitive identity interactions. </w:t>
      </w:r>
      <w:r>
        <w:t>The primary sensor is semantic detection of login/MFA/device-code/passkey/security-enrollment workflows combined with a mismatch between the claimed identity and the top-level origin. The second sensor is multi-feature resource-origin graph distortion consistent with a reverse proxy translating a real authentication application through another domain. Model enterprise ZTNA/SWG mediation explicitly so TLS interception, re-signed certificates, header mutation, and approved wrapper hostnames do not become false positives. Keep CSP/HSTS/favicon/manifest drift as low-weight corroboration. Ship a useful core with activeTab + scripting; make broader host access and webRequest-based header inspection optional or managed. Validate against Zscaler, Cloudflare Gateway, Netskope Browser Access, legitimate IdPs, device-code flows, and passkey-enrollment lures before tuning alert thresholds.</w:t>
      </w:r>
    </w:p>
    <w:sectPr w:rsidR="00FC693F" w:rsidRPr="0006063C" w:rsidSect="00034616">
      <w:headerReference w:type="default" r:id="rId9"/>
      <w:footerReference w:type="default" r:id="rId10"/>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7682"/>
        <w:sz w:val="16"/>
      </w:rPr>
      <w:t xml:space="preserve">Agent handoff • 2026-08-10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7682"/>
        <w:sz w:val="16"/>
      </w:rPr>
      <w:t>AiTM / MV3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43A7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20497D"/>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Liberation Sans" w:hAnsi="Liberation Sans"/>
      <w:b/>
      <w:bCs/>
      <w:color w:val="2A4E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Liberation Sans" w:hAnsi="Liberation Sans"/>
      <w:b/>
      <w:color w:val="142D5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Liberation Sans" w:hAnsi="Liberation Sans"/>
      <w:color w:val="555C68"/>
      <w:sz w:val="17"/>
    </w:rPr>
  </w:style>
  <w:style w:type="paragraph" w:customStyle="1" w:styleId="CodeBlock">
    <w:name w:val="Code Block"/>
    <w:pPr>
      <w:spacing w:before="40" w:after="80"/>
      <w:ind w:left="255" w:right="170"/>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loud.google.com/blog/topics/threat-intelligence/unc6671-targets-financial-services-and-enterprise-cloud-environments" TargetMode="External"/><Relationship Id="rId12" Type="http://schemas.openxmlformats.org/officeDocument/2006/relationships/hyperlink" Target="https://www.microsoft.com/en-us/security/blog/2026/03/04/inside-tycoon2fa-how-a-leading-aitm-phishing-kit-operated-at-scale/" TargetMode="External"/><Relationship Id="rId13" Type="http://schemas.openxmlformats.org/officeDocument/2006/relationships/hyperlink" Target="https://www.proofpoint.com/us/blog/threat-insight/device-code-phishing-evolution-identity-takeover" TargetMode="External"/><Relationship Id="rId14" Type="http://schemas.openxmlformats.org/officeDocument/2006/relationships/hyperlink" Target="https://cloud.google.com/blog/topics/threat-intelligence/session-stealing-browser-in-the-middle" TargetMode="External"/><Relationship Id="rId15" Type="http://schemas.openxmlformats.org/officeDocument/2006/relationships/hyperlink" Target="https://dl.acm.org/doi/10.1145/3460120.3484765" TargetMode="External"/><Relationship Id="rId16" Type="http://schemas.openxmlformats.org/officeDocument/2006/relationships/hyperlink" Target="https://scholarsarchive.byu.edu/etd/11206/" TargetMode="External"/><Relationship Id="rId17" Type="http://schemas.openxmlformats.org/officeDocument/2006/relationships/hyperlink" Target="https://github.com/kgretzky/evilginx2/releases" TargetMode="External"/><Relationship Id="rId18" Type="http://schemas.openxmlformats.org/officeDocument/2006/relationships/hyperlink" Target="https://developer.chrome.com/docs/extensions/develop/concepts/activeTab" TargetMode="External"/><Relationship Id="rId19" Type="http://schemas.openxmlformats.org/officeDocument/2006/relationships/hyperlink" Target="https://developer.chrome.com/docs/extensions/reference/api/webRequest" TargetMode="External"/><Relationship Id="rId20" Type="http://schemas.openxmlformats.org/officeDocument/2006/relationships/hyperlink" Target="https://developer.chrome.com/docs/extensions/reference/api/declarativeNetRequest" TargetMode="External"/><Relationship Id="rId21" Type="http://schemas.openxmlformats.org/officeDocument/2006/relationships/hyperlink" Target="https://help.zscaler.com/zia/understanding-ssltls-inspection" TargetMode="External"/><Relationship Id="rId22" Type="http://schemas.openxmlformats.org/officeDocument/2006/relationships/hyperlink" Target="https://developers.cloudflare.com/cloudflare-one/traffic-policies/http-policies/tls-decryption/" TargetMode="External"/><Relationship Id="rId23" Type="http://schemas.openxmlformats.org/officeDocument/2006/relationships/hyperlink" Target="https://developers.cloudflare.com/cloudflare-one/traffic-policies/http-policies/tenant-control/" TargetMode="External"/><Relationship Id="rId24" Type="http://schemas.openxmlformats.org/officeDocument/2006/relationships/hyperlink" Target="https://docs.netskope.com/de/configure-browser-access-with-url-rewrite" TargetMode="External"/><Relationship Id="rId25" Type="http://schemas.openxmlformats.org/officeDocument/2006/relationships/hyperlink" Target="https://docs.netskope.com/es/certificates" TargetMode="External"/><Relationship Id="rId26" Type="http://schemas.openxmlformats.org/officeDocument/2006/relationships/hyperlink" Target="https://learn.microsoft.com/en-us/entra/identity/conditional-access/concept-token-protection" TargetMode="External"/><Relationship Id="rId27" Type="http://schemas.openxmlformats.org/officeDocument/2006/relationships/hyperlink" Target="https://learn.microsoft.com/en-us/entra/identity/conditional-access/concept-continuous-access-evaluation" TargetMode="External"/><Relationship Id="rId28" Type="http://schemas.openxmlformats.org/officeDocument/2006/relationships/hyperlink" Target="https://developers.google.com/web/updates/" TargetMode="External"/><Relationship Id="rId29" Type="http://schemas.openxmlformats.org/officeDocument/2006/relationships/hyperlink" Target="https://www.microsoft.com/en-us/security/blog/2026/04/06/ai-enabled-device-code-phishing-campaign-april-2026/" TargetMode="External"/><Relationship Id="rId30" Type="http://schemas.openxmlformats.org/officeDocument/2006/relationships/hyperlink" Target="https://github.com/muraenateam/muraena" TargetMode="External"/><Relationship Id="rId31" Type="http://schemas.openxmlformats.org/officeDocument/2006/relationships/hyperlink" Target="https://github.com/drk1wi/Modlishka" TargetMode="External"/><Relationship Id="rId32" Type="http://schemas.openxmlformats.org/officeDocument/2006/relationships/hyperlink" Target="https://www.cisa.gov/news-events/cybersecurity-advisories/aa26-204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AiTM Detection Research Brief - MV3 Low-Permission Client Detection</dc:title>
  <dc:subject>Agent-ready research brief for implementing an AiTM phishing detector in a Chrome MV3 extension</dc:subject>
  <dc:creator>OpenAI</dc:creator>
  <cp:keywords>AiTM, Evilginx, Muraena, Modlishka, MV3, Chrome extension, phishing, passkey, device code, ZTNA</cp:keywords>
  <dc:description>generated by python-docx</dc:description>
  <cp:lastModifiedBy/>
  <cp:revision>1</cp:revision>
  <dcterms:created xsi:type="dcterms:W3CDTF">2013-12-23T23:15:00Z</dcterms:created>
  <dcterms:modified xsi:type="dcterms:W3CDTF">2013-12-23T23:15:00Z</dcterms:modified>
  <cp:category/>
</cp:coreProperties>
</file>