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Grafisk Kravsporingsoversikt</w:t>
      </w:r>
    </w:p>
    <w:p>
      <w:r>
        <w:t>Rapport generert: 2025-10-29 19:58:38</w:t>
      </w:r>
    </w:p>
    <w:p>
      <w:r>
        <w:t>Totalt antall unike krav identifisert: 37</w:t>
      </w:r>
    </w:p>
    <w:p/>
    <w:p>
      <w:pPr>
        <w:pStyle w:val="Heading1"/>
      </w:pPr>
      <w:r>
        <w:t>Fordeling av Trefftyper</w:t>
      </w:r>
    </w:p>
    <w:p>
      <w:r>
        <w:drawing>
          <wp:inline xmlns:a="http://schemas.openxmlformats.org/drawingml/2006/main" xmlns:pic="http://schemas.openxmlformats.org/drawingml/2006/picture">
            <wp:extent cx="5486400" cy="4628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fftyper_pie_17617643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82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Kravtyper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avtyper_bar_17617643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Fagområder / Leverandørgrupper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per_bar_17617643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