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Leverandørleveranser</w:t>
      </w:r>
    </w:p>
    <w:p>
      <w:r>
        <w:t>Denne rapporten grupperer funne krav basert på potensielt ansvarlig fagområde/leverandør. Verifiser grupperingen før bruk.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0C0C0"/>
          </w:tcPr>
          <w:p>
            <w:r>
              <w:t>Gruppe</w:t>
            </w:r>
          </w:p>
        </w:tc>
        <w:tc>
          <w:tcPr>
            <w:tcW w:type="dxa" w:w="1440"/>
            <w:shd w:fill="C0C0C0"/>
          </w:tcPr>
          <w:p>
            <w:r>
              <w:t>Krav</w:t>
            </w:r>
          </w:p>
        </w:tc>
        <w:tc>
          <w:tcPr>
            <w:tcW w:type="dxa" w:w="1440"/>
            <w:shd w:fill="C0C0C0"/>
          </w:tcPr>
          <w:p>
            <w:r>
              <w:t>Type</w:t>
            </w:r>
          </w:p>
        </w:tc>
        <w:tc>
          <w:tcPr>
            <w:tcW w:type="dxa" w:w="1440"/>
            <w:shd w:fill="C0C0C0"/>
          </w:tcPr>
          <w:p>
            <w:r>
              <w:t>Referanse</w:t>
            </w:r>
          </w:p>
        </w:tc>
        <w:tc>
          <w:tcPr>
            <w:tcW w:type="dxa" w:w="1440"/>
            <w:shd w:fill="C0C0C0"/>
          </w:tcPr>
          <w:p>
            <w:r>
              <w:t>Forklaring</w:t>
            </w:r>
          </w:p>
        </w:tc>
        <w:tc>
          <w:tcPr>
            <w:tcW w:type="dxa" w:w="1440"/>
            <w:shd w:fill="C0C0C0"/>
          </w:tcPr>
          <w:p>
            <w:r>
              <w:t>Topp fag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- Reguleringsventil for varmebatteri leveres som trykkuavhengige ventiler med integrert energimåling.</w:t>
            </w:r>
          </w:p>
        </w:tc>
        <w:tc>
          <w:tcPr>
            <w:tcW w:type="dxa" w:w="1440"/>
            <w:shd w:fill="CCE5FF"/>
          </w:tcPr>
          <w:p>
            <w:r>
              <w:t>leveranse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59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SEM:77.2%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I varmekursene i energisentral og foran hvert batteri skal det også sveises inn nødvendig antall følerlommer for regulering og overvåking av anlegget.</w:t>
            </w:r>
          </w:p>
        </w:tc>
        <w:tc>
          <w:tcPr>
            <w:tcW w:type="dxa" w:w="1440"/>
            <w:shd w:fill="CCE5FF"/>
          </w:tcPr>
          <w:p>
            <w:r>
              <w:t>krav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30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SEM:70.6%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Uspesifisert (0.4%)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Til hver alarm skal en unik alarmtekst kunne defineres, som i klartekst forklarer alarm-situasjonen, hva som utløste alarmen, aktuelle parameter som måleverdi og settpunkt og hvilke tiltak som bør iverksettes.</w:t>
            </w:r>
          </w:p>
        </w:tc>
        <w:tc>
          <w:tcPr>
            <w:tcW w:type="dxa" w:w="1440"/>
            <w:shd w:fill="CCE5FF"/>
          </w:tcPr>
          <w:p>
            <w:r>
              <w:t>krav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54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SEM:69.9%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byggautomasjon (0.8%)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Optimatoren skal benyttes til å programmere/ endre reguleringsparametere, samt for å avlese innstilte verdier og logging av DCV systemets verdier. CO2 /tilstedeværelse).</w:t>
            </w:r>
          </w:p>
        </w:tc>
        <w:tc>
          <w:tcPr>
            <w:tcW w:type="dxa" w:w="1440"/>
            <w:shd w:fill="CCE5FF"/>
          </w:tcPr>
          <w:p>
            <w:r>
              <w:t>miljø/energi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42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SEM:65.6%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byggautomasjon (0.6%)</w:t>
            </w:r>
          </w:p>
        </w:tc>
      </w:tr>
      <w:tr>
        <w:tc>
          <w:tcPr>
            <w:tcW w:type="dxa" w:w="1440"/>
            <w:shd w:fill="FFF2CC"/>
          </w:tcPr>
          <w:p>
            <w:r>
              <w:t>elektro</w:t>
            </w:r>
          </w:p>
        </w:tc>
        <w:tc>
          <w:tcPr>
            <w:tcW w:type="dxa" w:w="1440"/>
            <w:shd w:fill="FFF2CC"/>
          </w:tcPr>
          <w:p>
            <w:r>
              <w:t>30.3.10 Merking av komponenter og utstyr som skal ha elektrisk kabeltilkobling.</w:t>
            </w:r>
          </w:p>
        </w:tc>
        <w:tc>
          <w:tcPr>
            <w:tcW w:type="dxa" w:w="1440"/>
            <w:shd w:fill="FFF2CC"/>
          </w:tcPr>
          <w:p>
            <w:r>
              <w:t>krav</w:t>
            </w:r>
          </w:p>
        </w:tc>
        <w:tc>
          <w:tcPr>
            <w:tcW w:type="dxa" w:w="1440"/>
            <w:shd w:fill="FFF2CC"/>
          </w:tcPr>
          <w:p>
            <w:r>
              <w:t>e.3_Bilag_01_Funksjons_og_ytelsesbeskrivelse_VVS_og_automatiseringsanlegg_for_VVS_-_tekniske_anlegg.PDF / Side 6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KW:100.0% | SEM:66.6% | AI:35.0% | FOKUS:0.0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felles (0.6%)</w:t>
            </w:r>
          </w:p>
        </w:tc>
      </w:tr>
      <w:tr>
        <w:tc>
          <w:tcPr>
            <w:tcW w:type="dxa" w:w="1440"/>
            <w:shd w:fill="FFF2CC"/>
          </w:tcPr>
          <w:p>
            <w:r>
              <w:t>elektro</w:t>
            </w:r>
          </w:p>
        </w:tc>
        <w:tc>
          <w:tcPr>
            <w:tcW w:type="dxa" w:w="1440"/>
            <w:shd w:fill="FFF2CC"/>
          </w:tcPr>
          <w:p>
            <w:r>
              <w:t>Energimåler skal ha overføring til energioppfølgingssystemet (EOS).</w:t>
            </w:r>
          </w:p>
        </w:tc>
        <w:tc>
          <w:tcPr>
            <w:tcW w:type="dxa" w:w="1440"/>
            <w:shd w:fill="FFF2CC"/>
          </w:tcPr>
          <w:p>
            <w:r>
              <w:t>miljø/energi</w:t>
            </w:r>
          </w:p>
        </w:tc>
        <w:tc>
          <w:tcPr>
            <w:tcW w:type="dxa" w:w="1440"/>
            <w:shd w:fill="FFF2CC"/>
          </w:tcPr>
          <w:p>
            <w:r>
              <w:t>e.3_Bilag_01_Funksjons_og_ytelsesbeskrivelse_VVS_og_automatiseringsanlegg_for_VVS_-_tekniske_anlegg.PDF / Side 5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KW:81.5% | SEM:80.2% | AI:35.0% | FOKUS:0.0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elektro (0.4%)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30.16 Dimensjonering og beregninger. Det skal utføres følgende beregninger som fremlegges tiltakshaver.</w:t>
            </w:r>
          </w:p>
        </w:tc>
        <w:tc>
          <w:tcPr>
            <w:tcW w:type="dxa" w:w="1440"/>
          </w:tcPr>
          <w:p>
            <w:r>
              <w:t>krav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16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KW:100.0% | SEM:68.2% | AI:40.0%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Det skal utføres følgende beregninger som fremlegges tiltakshaver. Effektberegninger.</w:t>
            </w:r>
          </w:p>
        </w:tc>
        <w:tc>
          <w:tcPr>
            <w:tcW w:type="dxa" w:w="1440"/>
          </w:tcPr>
          <w:p>
            <w:r>
              <w:t>krav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17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KW:100.0% | SEM:65.3% | AI:35.0%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Varmebehovsberegninger. Luftmengdeberegninger. beregninger og simuleringer. Lydberegninger.</w:t>
            </w:r>
          </w:p>
        </w:tc>
        <w:tc>
          <w:tcPr>
            <w:tcW w:type="dxa" w:w="1440"/>
          </w:tcPr>
          <w:p>
            <w:r>
              <w:t>krav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17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KW:100.0% | SEM:64.2% | AI:40.0%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Den har som overordnet mål å gjøre byggherrens driftspersonell kjent med systemets oppbygging, funksjoner og virkemåter slik at driftsorganisasjonen kan beherske sitt anlegg ved overtakelse.</w:t>
            </w:r>
          </w:p>
        </w:tc>
        <w:tc>
          <w:tcPr>
            <w:tcW w:type="dxa" w:w="1440"/>
          </w:tcPr>
          <w:p>
            <w:r>
              <w:t>krav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11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KW:81.5% | SEM:64.3% | AI:60.0%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FDV-dokumentasjonen skal lastes opp elektronisk i byggherrens FDV system.</w:t>
            </w:r>
          </w:p>
        </w:tc>
        <w:tc>
          <w:tcPr>
            <w:tcW w:type="dxa" w:w="1440"/>
          </w:tcPr>
          <w:p>
            <w:r>
              <w:t>dokumentasjon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14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KW:81.5% | SEM:64.3% | AI:55.0%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(0.8%)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</w:t>
            </w:r>
          </w:p>
        </w:tc>
        <w:tc>
          <w:tcPr>
            <w:tcW w:type="dxa" w:w="1440"/>
            <w:shd w:fill="EAD1DC"/>
          </w:tcPr>
          <w:p>
            <w:r>
              <w:t>installasjon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25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SEM:75.4%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Disse radiatorene leveres også med manuell vrider med skive, returventil og koblinger mot radiator i polert messing.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32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SEM:74.9%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ikke benyttes utenpåliggende følere. Komplette shuntgrupper og reguleringsventiler for regulering av vannmengder i varmeanlegget.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SEM:76.5%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Uspesifisert (0.3%)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legges varmtvann sirkulasjonsledninger med egen sirkulasjonspumpe som skal dekke alle tappesteder som har varmt tappevann.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SEM:79.7%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Sikkerhetsventiler skal leveres med avløp som føres til sluk.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SEM:72.9%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Foran hvert sanitærutstyr skal det være avstengningsventiler. All armatur til nytt sanitærutstyr skal medtas.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SEM:71.1%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(0.8%)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- Det skal monteres vannstoppeventiler i fordelerskap i rom som ikke har sluk.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19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SEM:70.3%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leveres vannbåren gulvvarme i enkelte rom og soner.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32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SEM:70.4%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Fram til nye radiatorer i publikumsgarderober føres det vertikale rørstammer opp gjennom bygningen. I vestibylen skal radiatortilknytningen foretas som underfordeling fra underetasjen.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27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SEM:68.7%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(0.4%)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Installasjoner i våtrom uten sluk skal ha fuktføler med automatisk avstenging.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SEM:68.2%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i hovedsak benyttes standard sanitærutstyr i hvitt porselen av anerkjent fabrikat, men med noen unntak som beskrevet under.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23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SEM:67.2%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Alle reguleringsventiler leveres som trykkuavhengige ventiler med integrert energimåling og vannmengderegulering.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56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SEM:65.0%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Pumpen må ha en kapasitet på 10 l/s mot 100 k Pa. Komplett med automatikk for tilknytning til SD-anlegg.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25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SEM:64.8% | AI:75.0%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bygges opp en ny undersentral med nye rør, innreguleringsventiler, avstengningsventiler, pumper, shuntventiler, lufteventiler, vakuumutskiller, vannbehandlings/renseanlegg, avtapningsventiler osv.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26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SEM:64.1%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(0.8%)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For gulvvarme benyttes PEX rør med diffusjonssperre.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28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SEM:62.9%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Fordelerskap for tappevann skal plasseres innfelt i vegg.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SEM:62.3%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Eksisterende luftinntak og luftavkast benyttes som de er.</w:t>
            </w:r>
          </w:p>
        </w:tc>
        <w:tc>
          <w:tcPr>
            <w:tcW w:type="dxa" w:w="1440"/>
            <w:shd w:fill="D0E0E3"/>
          </w:tcPr>
          <w:p>
            <w:r>
              <w:t>krav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45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SEM:83.2% | AI:35.0%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ventilasjon (0.5%)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Både ventilasjonsaggregat og sonene skal trykkstyres.</w:t>
            </w:r>
          </w:p>
        </w:tc>
        <w:tc>
          <w:tcPr>
            <w:tcW w:type="dxa" w:w="1440"/>
            <w:shd w:fill="D0E0E3"/>
          </w:tcPr>
          <w:p>
            <w:r>
              <w:t>krav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SEM:79.7% | AI:35.0%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ventilasjon (0.6%)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Spjeldene skal kunne styres fra brannsentral. Som Opsjon skal det tilbys brann- og røykgasspjeld som lukker ved varmepåkjenning (kjemiske brannspjeld foretrekkes).</w:t>
            </w:r>
          </w:p>
        </w:tc>
        <w:tc>
          <w:tcPr>
            <w:tcW w:type="dxa" w:w="1440"/>
            <w:shd w:fill="D0E0E3"/>
          </w:tcPr>
          <w:p>
            <w:r>
              <w:t>leveranse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45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SEM:72.3% | AI:40.0%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ventilasjon (0.4%)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Dette skal være passive ventiler som monteres for å oppnå tilstrekkelig brannteknisk skille mellom etasjene.</w:t>
            </w:r>
          </w:p>
        </w:tc>
        <w:tc>
          <w:tcPr>
            <w:tcW w:type="dxa" w:w="1440"/>
            <w:shd w:fill="D0E0E3"/>
          </w:tcPr>
          <w:p>
            <w:r>
              <w:t>krav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45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SEM:63.9% | AI:40.0%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ventilasjon (0.6%)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I tråd med brannteknisk tilstandsrapport ble det registrert ventilasjonskanaler uten brannspjeld ved gjennomføring i branncellebegrensende bygningsdeler – dette må utbedres.</w:t>
            </w:r>
          </w:p>
        </w:tc>
        <w:tc>
          <w:tcPr>
            <w:tcW w:type="dxa" w:w="1440"/>
            <w:shd w:fill="D0E0E3"/>
          </w:tcPr>
          <w:p>
            <w:r>
              <w:t>krav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43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SEM:62.6% | AI:40.0%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ventilasjon (0.7%)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Trendlogging innebærer innsamling og lagring av informasjon som tekniske data, status og måleverdier, for en tidsperiode, kontinuerlig eller COV.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54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SEM:70.5% | AI:40.0%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byggautomasjon (0.5%)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- Fjerde varmekurs er gulvvarmekursen som ved DUTBergen vil bli på ca. Alle nødvendige ventiler og andre nødvendige komponenter, instrumentering mm. som inngår i et komplett system er ikke vist.</w:t>
            </w:r>
          </w:p>
        </w:tc>
        <w:tc>
          <w:tcPr>
            <w:tcW w:type="dxa" w:w="1440"/>
            <w:shd w:fill="EEEEEE"/>
          </w:tcPr>
          <w:p>
            <w:r>
              <w:t>leveranse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27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SEM:69.7% | AI:40.0%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felles (0.6%)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Ved ekspansjonskar skal det monteres sikkerhetsventiler med kapasitet og trykknivå tilpasset varmeanleggets behov.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30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SEM:67.0% | AI:40.0%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Effektbehovet til radiatorer, gulvvarme og strålevarmetak er foreløpig beregnet til ca.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27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SEM:66.8% | AI:35.0%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felles (0.5%)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Dokumentasjon på FG-sertifisering skal leveres med tilbudet.</w:t>
            </w:r>
          </w:p>
        </w:tc>
        <w:tc>
          <w:tcPr>
            <w:tcW w:type="dxa" w:w="1440"/>
            <w:shd w:fill="EEEEEE"/>
          </w:tcPr>
          <w:p>
            <w:r>
              <w:t>leveranse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35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KW:76.5% | SEM:62.1% | AI:55.0%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