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0">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1">
        <w:r>
          <w:rPr>
            <w:rStyle w:val="Hyperlink"/>
          </w:rPr>
          <w:t xml:space="preserve">tore.wentzellarsen@gmail.com</w:t>
        </w:r>
      </w:hyperlink>
    </w:p>
    <w:p>
      <w:pPr>
        <w:pStyle w:val="TextBody"/>
      </w:pPr>
      <w:r>
        <w:t xml:space="preserve">Revision date: 2019-05-13</w:t>
      </w:r>
    </w:p>
    <w:p>
      <w:pPr>
        <w:pStyle w:val="Heading1"/>
      </w:pPr>
      <w:bookmarkStart w:id="22" w:name="abstract"/>
      <w:r>
        <w:t xml:space="preserve">Abstract</w:t>
      </w:r>
      <w:bookmarkEnd w:id="22"/>
    </w:p>
    <w:p>
      <w:pPr>
        <w:pStyle w:val="FirstParagraph"/>
      </w:pPr>
      <w:r>
        <w:rPr>
          <w:b/>
        </w:rPr>
        <w:t xml:space="preserve">Background</w:t>
      </w:r>
      <w:r>
        <w:t xml:space="preserve"> </w:t>
      </w:r>
      <w:r>
        <w:t xml:space="preserve">The run chart is one form of statistical process control chart that is particularly useful for detecting minor to moderate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because no closed form expression exist for the distribution of L, have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 crossrun 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calculated exact values for the joint distribution of C and L for N = 10-100 together with measures of the diagnostic value of the Anhøj rules. The best box and cut box procedures significantly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3" w:name="keywords"/>
      <w:r>
        <w:t xml:space="preserve">Keywords</w:t>
      </w:r>
      <w:bookmarkEnd w:id="23"/>
    </w:p>
    <w:p>
      <w:pPr>
        <w:pStyle w:val="FirstParagraph"/>
      </w:pPr>
      <w:r>
        <w:t xml:space="preserve">statistical process control, run charts, control charts, runs analysis, quality improvement</w:t>
      </w:r>
    </w:p>
    <w:p>
      <w:pPr>
        <w:pStyle w:val="Heading1"/>
      </w:pPr>
      <w:bookmarkStart w:id="24" w:name="background"/>
      <w:r>
        <w:t xml:space="preserve">Background</w:t>
      </w:r>
      <w:bookmarkEnd w:id="24"/>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The number of crossings follows a binomial distribution,</w:t>
      </w:r>
      <w:r>
        <w:t xml:space="preserve"> </w:t>
      </w:r>
      <m:oMath>
        <m:r>
          <m:t>b</m:t>
        </m:r>
        <m:r>
          <m:t>(</m:t>
        </m:r>
        <m:r>
          <m:t>N</m:t>
        </m:r>
        <m:r>
          <m:t>−</m:t>
        </m:r>
        <m:r>
          <m:t>1</m:t>
        </m:r>
        <m:r>
          <m:t>,</m:t>
        </m:r>
        <m:r>
          <m:t>0.5</m:t>
        </m:r>
        <m:r>
          <m:t>)</m:t>
        </m:r>
      </m:oMath>
      <w:r>
        <w:t xml:space="preserve">,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w:t>
      </w:r>
      <w:r>
        <w:t xml:space="preserve"> </w:t>
      </w:r>
      <m:oMath>
        <m:sSub>
          <m:e>
            <m:r>
              <m:rPr>
                <m:sty m:val="p"/>
              </m:rPr>
              <m:t>log</m:t>
            </m:r>
          </m:e>
          <m:sub>
            <m:r>
              <m:t>2</m:t>
            </m:r>
          </m:sub>
        </m:sSub>
        <m:r>
          <m:t>(</m:t>
        </m:r>
        <m:r>
          <m:t>N</m:t>
        </m:r>
        <m:r>
          <m:t>)</m:t>
        </m:r>
        <m:r>
          <m:t>+</m:t>
        </m:r>
        <m:r>
          <m:t>3</m:t>
        </m:r>
      </m:oMath>
      <w:r>
        <w:t xml:space="preserve"> </w:t>
      </w:r>
      <w:r>
        <w:t xml:space="preserve">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w:t>
      </w:r>
      <w:r>
        <w:t xml:space="preserve"> </w:t>
      </w:r>
      <m:oMath>
        <m:sSup>
          <m:e>
            <m:r>
              <m:t>2</m:t>
            </m:r>
          </m:e>
          <m:sup>
            <m:r>
              <m:t>N</m:t>
            </m:r>
            <m:r>
              <m:t>−</m:t>
            </m:r>
            <m:r>
              <m:t>1</m:t>
            </m:r>
          </m:sup>
        </m:sSup>
      </m:oMath>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5" w:name="methods"/>
      <w:r>
        <w:t xml:space="preserve">Methods</w:t>
      </w:r>
      <w:bookmarkEnd w:id="25"/>
    </w:p>
    <w:p>
      <w:pPr>
        <w:pStyle w:val="Heading2"/>
      </w:pPr>
      <w:bookmarkStart w:id="26" w:name="likelihood-ratios-to-quantify-the-diagnostic-value-of-runs-rules"/>
      <w:r>
        <w:t xml:space="preserve">Likelihood ratios to quantify the diagnostic value of runs rules</w:t>
      </w:r>
      <w:bookmarkEnd w:id="26"/>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while a likelihood ratio less than 1 speaks against the condition. As a rule of thumb, a positive likelihood ratio (LR+) greater than 10 is considered strong evidence that the condition is present. A negative likelihood ratio (LR-) smaller than 0.1 is considered strong evidence against the condition</w:t>
      </w:r>
      <w:r>
        <w:t xml:space="preserve"> </w:t>
      </w:r>
      <w:r>
        <w:t xml:space="preserve">[9]</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runs charts are diagnostic tests for non-random variation in time series data</w:t>
      </w:r>
      <w:r>
        <w:t xml:space="preserve"> </w:t>
      </w:r>
      <w:r>
        <w:t xml:space="preserve">[1,3]</w:t>
      </w:r>
      <w:r>
        <w:t xml:space="preserve">.</w:t>
      </w:r>
    </w:p>
    <w:p>
      <w:pPr>
        <w:pStyle w:val="Heading2"/>
      </w:pPr>
      <w:bookmarkStart w:id="27" w:name="best-box-and-cut-box-adjustments-to-improve-the-anhj-rules"/>
      <w:r>
        <w:t xml:space="preserve">Best box and cut box adjustments to improve the Anhøj rules</w:t>
      </w:r>
      <w:bookmarkEnd w:id="27"/>
    </w:p>
    <w:p>
      <w:pPr>
        <w:pStyle w:val="FirstParagraph"/>
      </w:pPr>
      <w:r>
        <w:t xml:space="preserve">To fix some terms, we define a box as a rectangular region</w:t>
      </w:r>
      <w:r>
        <w:t xml:space="preserve"> </w:t>
      </w:r>
      <m:oMath>
        <m:r>
          <m:t>C</m:t>
        </m:r>
        <m:r>
          <m:t>≥</m:t>
        </m:r>
        <m:r>
          <m:t>c</m:t>
        </m:r>
        <m:r>
          <m:t>,</m:t>
        </m:r>
        <m:r>
          <m:t>L</m:t>
        </m:r>
        <m:r>
          <m:t>≤</m:t>
        </m:r>
        <m:r>
          <m:t>l</m:t>
        </m:r>
      </m:oMath>
      <w:r>
        <w:t xml:space="preserve"> </w:t>
      </w:r>
      <w:r>
        <w:t xml:space="preserve">that may be used to define random variation. The corner of the box is its upper right cell</w:t>
      </w:r>
      <w:r>
        <w:t xml:space="preserve"> </w:t>
      </w:r>
      <m:oMath>
        <m:r>
          <m:t>C</m:t>
        </m:r>
        <m:r>
          <m:t>=</m:t>
        </m:r>
        <m:r>
          <m:t>c</m:t>
        </m:r>
        <m:r>
          <m:t>,</m:t>
        </m:r>
        <m:r>
          <m:t>L</m:t>
        </m:r>
        <m:r>
          <m:t>=</m:t>
        </m:r>
        <m:r>
          <m:t>l</m:t>
        </m:r>
      </m:oMath>
      <w:r>
        <w:t xml:space="preserve">. In Figure 3 the box</w:t>
      </w:r>
      <w:r>
        <w:t xml:space="preserve"> </w:t>
      </w:r>
      <m:oMath>
        <m:r>
          <m:t>C</m:t>
        </m:r>
        <m:r>
          <m:t>≥</m:t>
        </m:r>
        <m:r>
          <m:t>2</m:t>
        </m:r>
        <m:r>
          <m:t>,</m:t>
        </m:r>
        <m:r>
          <m:t>L</m:t>
        </m:r>
        <m:r>
          <m:t>≤</m:t>
        </m:r>
        <m:r>
          <m:t>6</m:t>
        </m:r>
      </m:oMath>
      <w:r>
        <w:t xml:space="preserve">, marked with red, specifies the Anhøj rules for</w:t>
      </w:r>
      <w:r>
        <w:t xml:space="preserve"> </w:t>
      </w:r>
      <m:oMath>
        <m:r>
          <m:t>N</m:t>
        </m:r>
        <m:r>
          <m:t>=</m:t>
        </m:r>
        <m:r>
          <m:t>11</m:t>
        </m:r>
      </m:oMath>
      <w:r>
        <w:t xml:space="preserve">. The corner of this box is the cell</w:t>
      </w:r>
      <w:r>
        <w:t xml:space="preserve"> </w:t>
      </w:r>
      <m:oMath>
        <m:r>
          <m:t>C</m:t>
        </m:r>
        <m:r>
          <m:t>=</m:t>
        </m:r>
        <m:r>
          <m:t>2</m:t>
        </m:r>
        <m:r>
          <m:t>,</m:t>
        </m:r>
        <m:r>
          <m:t>L</m:t>
        </m:r>
        <m:r>
          <m:t>=</m:t>
        </m:r>
        <m:r>
          <m:t>6</m:t>
        </m:r>
      </m:oMath>
      <w:r>
        <w:t xml:space="preserve">.</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w:t>
      </w:r>
      <w:r>
        <w:t xml:space="preserve"> </w:t>
      </w:r>
      <m:oMath>
        <m:r>
          <m:t>≥</m:t>
        </m:r>
      </m:oMath>
      <w:r>
        <w:t xml:space="preserve"> </w:t>
      </w:r>
      <w:r>
        <w:t xml:space="preserve">a pre-determined value (the target specificity). The</w:t>
      </w:r>
      <w:r>
        <w:t xml:space="preserve"> </w:t>
      </w:r>
      <w:r>
        <w:rPr>
          <w:rStyle w:val="VerbatimChar"/>
        </w:rPr>
        <w:t xml:space="preserve">cutbox()</w:t>
      </w:r>
      <w:r>
        <w:t xml:space="preserve"> </w:t>
      </w:r>
      <w:r>
        <w:t xml:space="preserve">function subsequently cuts cells from the topmost horisontal and rightmost vertical borders of the best box, starting from the corner while keeping specificity</w:t>
      </w:r>
      <w:r>
        <w:t xml:space="preserve"> </w:t>
      </w:r>
      <m:oMath>
        <m:r>
          <m:t>≥</m:t>
        </m:r>
      </m:oMath>
      <w:r>
        <w:t xml:space="preserve"> </w:t>
      </w:r>
      <w:r>
        <w:t xml:space="preserve">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92.5%, which is close to the actual average specificity for the Anhøj rules for N = 10-100, while the target shift was set at 0.8.</w:t>
      </w:r>
    </w:p>
    <w:p>
      <w:pPr>
        <w:pStyle w:val="TextBody"/>
      </w:pPr>
      <w:r>
        <w:t xml:space="preserve">Figure 3 illustrates these principles for a run chart with 11 data points. Thus, for</w:t>
      </w:r>
      <w:r>
        <w:t xml:space="preserve"> </w:t>
      </w:r>
      <m:oMath>
        <m:r>
          <m:t>N</m:t>
        </m:r>
        <m:r>
          <m:t>=</m:t>
        </m:r>
        <m:r>
          <m:t>11</m:t>
        </m:r>
      </m:oMath>
      <w:r>
        <w:t xml:space="preserve">, the Anhøj rules would signal a shift if</w:t>
      </w:r>
      <w:r>
        <w:t xml:space="preserve"> </w:t>
      </w:r>
      <m:oMath>
        <m:r>
          <m:t>C</m:t>
        </m:r>
        <m:r>
          <m:t>&lt;</m:t>
        </m:r>
        <m:r>
          <m:t>2</m:t>
        </m:r>
      </m:oMath>
      <w:r>
        <w:t xml:space="preserve"> </w:t>
      </w:r>
      <w:r>
        <w:t xml:space="preserve">or</w:t>
      </w:r>
      <w:r>
        <w:t xml:space="preserve"> </w:t>
      </w:r>
      <m:oMath>
        <m:r>
          <m:t>L</m:t>
        </m:r>
        <m:r>
          <m:t>&gt;</m:t>
        </m:r>
        <m:r>
          <m:t>6</m:t>
        </m:r>
      </m:oMath>
      <w:r>
        <w:t xml:space="preserve">; best box would signal if</w:t>
      </w:r>
      <w:r>
        <w:t xml:space="preserve"> </w:t>
      </w:r>
      <m:oMath>
        <m:r>
          <m:t>C</m:t>
        </m:r>
        <m:r>
          <m:t>&lt;</m:t>
        </m:r>
        <m:r>
          <m:t>3</m:t>
        </m:r>
      </m:oMath>
      <w:r>
        <w:t xml:space="preserve"> </w:t>
      </w:r>
      <w:r>
        <w:t xml:space="preserve">or</w:t>
      </w:r>
      <w:r>
        <w:t xml:space="preserve"> </w:t>
      </w:r>
      <m:oMath>
        <m:r>
          <m:t>L</m:t>
        </m:r>
        <m:r>
          <m:t>&gt;</m:t>
        </m:r>
        <m:r>
          <m:t>7</m:t>
        </m:r>
      </m:oMath>
      <w:r>
        <w:t xml:space="preserve">; and cut box would signal if</w:t>
      </w:r>
      <w:r>
        <w:t xml:space="preserve"> </w:t>
      </w:r>
      <m:oMath>
        <m:r>
          <m:t>C</m:t>
        </m:r>
        <m:r>
          <m:t>&lt;</m:t>
        </m:r>
        <m:r>
          <m:t>3</m:t>
        </m:r>
      </m:oMath>
      <w:r>
        <w:t xml:space="preserve"> </w:t>
      </w:r>
      <w:r>
        <w:t xml:space="preserve">or</w:t>
      </w:r>
      <w:r>
        <w:t xml:space="preserve"> </w:t>
      </w:r>
      <m:oMath>
        <m:r>
          <m:t>L</m:t>
        </m:r>
        <m:r>
          <m:t>&gt;</m:t>
        </m:r>
        <m:r>
          <m:t>7</m:t>
        </m:r>
      </m:oMath>
      <w:r>
        <w:t xml:space="preserve">, and also when</w:t>
      </w:r>
      <w:r>
        <w:t xml:space="preserve"> </w:t>
      </w:r>
      <m:oMath>
        <m:r>
          <m:t>C</m:t>
        </m:r>
        <m:r>
          <m:t>=</m:t>
        </m:r>
        <m:r>
          <m:t>3</m:t>
        </m:r>
      </m:oMath>
      <w:r>
        <w:t xml:space="preserve"> </w:t>
      </w:r>
      <w:r>
        <w:t xml:space="preserve">and</w:t>
      </w:r>
      <w:r>
        <w:t xml:space="preserve"> </w:t>
      </w:r>
      <m:oMath>
        <m:r>
          <m:t>L</m:t>
        </m:r>
        <m:r>
          <m:t>=</m:t>
        </m:r>
        <m:r>
          <m:t>7</m:t>
        </m:r>
      </m:oMath>
      <w:r>
        <w:t xml:space="preserve">.</w:t>
      </w:r>
    </w:p>
    <w:p>
      <w:pPr>
        <w:pStyle w:val="TextBody"/>
      </w:pPr>
      <w:r>
        <w:t xml:space="preserve">The following notation is introduced to describe the cut box rules (Table 1): In the rightmost vertical border of the best box (</w:t>
      </w:r>
      <m:oMath>
        <m:r>
          <m:t>L</m:t>
        </m:r>
        <m:r>
          <m:t>=</m:t>
        </m:r>
        <m:r>
          <m:t>l</m:t>
        </m:r>
      </m:oMath>
      <w:r>
        <w:t xml:space="preserve">) the part retained within the cut box is stated as</w:t>
      </w:r>
      <w:r>
        <w:t xml:space="preserve"> </w:t>
      </w:r>
      <m:oMath>
        <m:r>
          <m:t>C</m:t>
        </m:r>
        <m:r>
          <m:t>≥</m:t>
        </m:r>
        <m:r>
          <m:rPr>
            <m:sty m:val="p"/>
          </m:rPr>
          <m:t>Cbord</m:t>
        </m:r>
      </m:oMath>
      <w:r>
        <w:t xml:space="preserve">. Similarly, in the topmost horizontal border of the best box (</w:t>
      </w:r>
      <m:oMath>
        <m:r>
          <m:t>C</m:t>
        </m:r>
        <m:r>
          <m:t>=</m:t>
        </m:r>
        <m:r>
          <m:t>c</m:t>
        </m:r>
      </m:oMath>
      <w:r>
        <w:t xml:space="preserve">) the part retained within the cut box is stated as</w:t>
      </w:r>
      <w:r>
        <w:t xml:space="preserve"> </w:t>
      </w:r>
      <m:oMath>
        <m:r>
          <m:t>L</m:t>
        </m:r>
        <m:r>
          <m:t>≤</m:t>
        </m:r>
        <m:r>
          <m:rPr>
            <m:sty m:val="p"/>
          </m:rPr>
          <m:t>Lbord</m:t>
        </m:r>
      </m:oMath>
      <w:r>
        <w:t xml:space="preserve">. For</w:t>
      </w:r>
      <w:r>
        <w:t xml:space="preserve"> </w:t>
      </w:r>
      <m:oMath>
        <m:r>
          <m:t>N</m:t>
        </m:r>
        <m:r>
          <m:t>=</m:t>
        </m:r>
        <m:r>
          <m:t>11</m:t>
        </m:r>
      </m:oMath>
      <w:r>
        <w:t xml:space="preserve">,</w:t>
      </w:r>
      <w:r>
        <w:t xml:space="preserve"> </w:t>
      </w:r>
      <m:oMath>
        <m:r>
          <m:t>C</m:t>
        </m:r>
        <m:r>
          <m:t>b</m:t>
        </m:r>
        <m:r>
          <m:t>o</m:t>
        </m:r>
        <m:r>
          <m:t>r</m:t>
        </m:r>
        <m:r>
          <m:t>d</m:t>
        </m:r>
        <m:r>
          <m:t>=</m:t>
        </m:r>
        <m:r>
          <m:t>4</m:t>
        </m:r>
      </m:oMath>
      <w:r>
        <w:t xml:space="preserve"> </w:t>
      </w:r>
      <w:r>
        <w:t xml:space="preserve">and</w:t>
      </w:r>
      <w:r>
        <w:t xml:space="preserve"> </w:t>
      </w:r>
      <m:oMath>
        <m:r>
          <m:t>L</m:t>
        </m:r>
        <m:r>
          <m:t>b</m:t>
        </m:r>
        <m:r>
          <m:t>o</m:t>
        </m:r>
        <m:r>
          <m:t>r</m:t>
        </m:r>
        <m:r>
          <m:t>d</m:t>
        </m:r>
        <m:r>
          <m:t>=</m:t>
        </m:r>
        <m:r>
          <m:t>6</m:t>
        </m:r>
      </m:oMath>
      <w:r>
        <w:t xml:space="preserve"> </w:t>
      </w:r>
      <w:r>
        <w:t xml:space="preserve">(Figure 3 and Table 1), in which case only the corner is cut. If no cut is done, Cbord and Lbord are not specified, these are the cases in which the cut box is identical to the best box.</w:t>
      </w:r>
    </w:p>
    <w:p>
      <w:pPr>
        <w:pStyle w:val="Heading1"/>
      </w:pPr>
      <w:bookmarkStart w:id="28" w:name="results"/>
      <w:r>
        <w:t xml:space="preserve">Results</w:t>
      </w:r>
      <w:bookmarkEnd w:id="28"/>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w:t>
      </w:r>
      <w:r>
        <w:t xml:space="preserve"> </w:t>
      </w:r>
      <w:r>
        <w:rPr>
          <w:rStyle w:val="VerbatimChar"/>
        </w:rPr>
        <w:t xml:space="preserve">log</w:t>
      </w:r>
      <w:r>
        <w:t xml:space="preserve"> </w:t>
      </w:r>
      <w:r>
        <w:t xml:space="preserve">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29" w:name="discussion-and-conclusion"/>
      <w:r>
        <w:t xml:space="preserve">Discussion and conclusion</w:t>
      </w:r>
      <w:bookmarkEnd w:id="29"/>
    </w:p>
    <w:p>
      <w:pPr>
        <w:pStyle w:val="FirstParagraph"/>
      </w:pPr>
      <w:r>
        <w:t xml:space="preserve">This study provided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demonstrated that it is feasible to reduce the variability in run chart specificity with varying number of data points by using the best box and cut box adjustments of the Anhøj rules.</w:t>
      </w:r>
    </w:p>
    <w:p>
      <w:pPr>
        <w:pStyle w:val="TextBody"/>
      </w:pPr>
      <w:r>
        <w:t xml:space="preserve">Most importantly, figures 6 and 7 confirm what we expected after years of practical experience using runs analysis, that the Anhøj rules constitute a useful and robust method for detection of persistent shifts only slightly larger than 1 standard deviation units and with as little as 10-12 data points. This can be seen by the fact that LR+ &gt; 10 for SD &gt; 1 and N</w:t>
      </w:r>
      <w:r>
        <w:t xml:space="preserve"> </w:t>
      </w:r>
      <m:oMath>
        <m:r>
          <m:t>≥</m:t>
        </m:r>
      </m:oMath>
      <w:r>
        <w:t xml:space="preserve"> </w:t>
      </w:r>
      <w:r>
        <w:t xml:space="preserve">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[10]</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provided exact values for the diagnostic properties of the Anhøj rules for run charts with 10-100 data points including shifts up to 3 standard deviation units, and demonstrated that it is feasible to reduce the variability in run chart specificity from varying numbers of data points by using the best box and cut box adjustments of the Anhøj rules.</w:t>
      </w:r>
    </w:p>
    <w:p>
      <w:pPr>
        <w:pStyle w:val="Heading1"/>
      </w:pPr>
      <w:bookmarkStart w:id="30" w:name="list-of-abbreviations"/>
      <w:r>
        <w:t xml:space="preserve">List of abbreviations</w:t>
      </w:r>
      <w:bookmarkEnd w:id="30"/>
    </w:p>
    <w:p>
      <w:pPr>
        <w:pStyle w:val="Compact"/>
        <w:numPr>
          <w:numId w:val="1002"/>
          <w:ilvl w:val="0"/>
        </w:numPr>
      </w:pPr>
      <w:r>
        <w:t xml:space="preserve">SPC: statistical process control</w:t>
      </w:r>
    </w:p>
    <w:p>
      <w:pPr>
        <w:pStyle w:val="Compact"/>
        <w:numPr>
          <w:numId w:val="1002"/>
          <w:ilvl w:val="0"/>
        </w:numPr>
      </w:pPr>
      <w:r>
        <w:t xml:space="preserve">C: Number of times the curve crosses the median line</w:t>
      </w:r>
    </w:p>
    <w:p>
      <w:pPr>
        <w:pStyle w:val="Compact"/>
        <w:numPr>
          <w:numId w:val="1002"/>
          <w:ilvl w:val="0"/>
        </w:numPr>
      </w:pPr>
      <w:r>
        <w:t xml:space="preserve">L: Length of longest runs</w:t>
      </w:r>
    </w:p>
    <w:p>
      <w:pPr>
        <w:pStyle w:val="Compact"/>
        <w:numPr>
          <w:numId w:val="1002"/>
          <w:ilvl w:val="0"/>
        </w:numPr>
      </w:pPr>
      <w:r>
        <w:t xml:space="preserve">N: Number of data points</w:t>
      </w:r>
    </w:p>
    <w:p>
      <w:pPr>
        <w:pStyle w:val="Compact"/>
        <w:numPr>
          <w:numId w:val="1002"/>
          <w:ilvl w:val="0"/>
        </w:numPr>
      </w:pPr>
      <w:r>
        <w:t xml:space="preserve">SD: Standard deviation</w:t>
      </w:r>
    </w:p>
    <w:p>
      <w:pPr>
        <w:pStyle w:val="Compact"/>
        <w:numPr>
          <w:numId w:val="1002"/>
          <w:ilvl w:val="0"/>
        </w:numPr>
      </w:pPr>
      <w:r>
        <w:t xml:space="preserve">TP: True positive proportion</w:t>
      </w:r>
    </w:p>
    <w:p>
      <w:pPr>
        <w:pStyle w:val="Compact"/>
        <w:numPr>
          <w:numId w:val="1002"/>
          <w:ilvl w:val="0"/>
        </w:numPr>
      </w:pPr>
      <w:r>
        <w:t xml:space="preserve">FP: False positive proportion</w:t>
      </w:r>
    </w:p>
    <w:p>
      <w:pPr>
        <w:pStyle w:val="Compact"/>
        <w:numPr>
          <w:numId w:val="1002"/>
          <w:ilvl w:val="0"/>
        </w:numPr>
      </w:pPr>
      <w:r>
        <w:t xml:space="preserve">TN: True negative proportion</w:t>
      </w:r>
    </w:p>
    <w:p>
      <w:pPr>
        <w:pStyle w:val="Compact"/>
        <w:numPr>
          <w:numId w:val="1002"/>
          <w:ilvl w:val="0"/>
        </w:numPr>
      </w:pPr>
      <w:r>
        <w:t xml:space="preserve">FN: False negative proportion</w:t>
      </w:r>
    </w:p>
    <w:p>
      <w:pPr>
        <w:pStyle w:val="Compact"/>
        <w:numPr>
          <w:numId w:val="1002"/>
          <w:ilvl w:val="0"/>
        </w:numPr>
      </w:pPr>
      <w:r>
        <w:t xml:space="preserve">LR+: Positive likelihood ratio</w:t>
      </w:r>
    </w:p>
    <w:p>
      <w:pPr>
        <w:pStyle w:val="Compact"/>
        <w:numPr>
          <w:numId w:val="1002"/>
          <w:ilvl w:val="0"/>
        </w:numPr>
      </w:pPr>
      <w:r>
        <w:t xml:space="preserve">LR-: Negative likelihood ratio</w:t>
      </w:r>
    </w:p>
    <w:p>
      <w:pPr>
        <w:pStyle w:val="Heading1"/>
      </w:pPr>
      <w:bookmarkStart w:id="31" w:name="results-table"/>
      <w:r>
        <w:t xml:space="preserve">Results table</w:t>
      </w:r>
      <w:bookmarkEnd w:id="31"/>
    </w:p>
    <w:p>
      <w:pPr>
        <w:pStyle w:val="FirstParagraph"/>
      </w:pPr>
      <w:r>
        <w:t xml:space="preserve">Table 1: Signal limits, specificity, and sensitivity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42"/>
        <w:gridCol w:w="522"/>
        <w:gridCol w:w="517"/>
        <w:gridCol w:w="778"/>
        <w:gridCol w:w="517"/>
        <w:gridCol w:w="861"/>
        <w:gridCol w:w="836"/>
        <w:gridCol w:w="953"/>
        <w:gridCol w:w="1125"/>
        <w:gridCol w:w="1020"/>
        <w:gridCol w:w="953"/>
        <w:gridCol w:w="1125"/>
        <w:gridCol w:w="1020"/>
      </w:tblGrid>
      <w:tr>
        <w:trPr>
          <w:cantSplit/>
          <w:trHeight w:val="330"/>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2" w:name="declarations"/>
      <w:r>
        <w:t xml:space="preserve">Declarations</w:t>
      </w:r>
      <w:bookmarkEnd w:id="32"/>
    </w:p>
    <w:p>
      <w:pPr>
        <w:pStyle w:val="Heading2"/>
      </w:pPr>
      <w:bookmarkStart w:id="33" w:name="ethics-approval-and-consent-to-participate"/>
      <w:r>
        <w:t xml:space="preserve">Ethics approval and consent to participate</w:t>
      </w:r>
      <w:bookmarkEnd w:id="33"/>
    </w:p>
    <w:p>
      <w:pPr>
        <w:pStyle w:val="FirstParagraph"/>
      </w:pPr>
      <w:r>
        <w:t xml:space="preserve">Not applicable.</w:t>
      </w:r>
    </w:p>
    <w:p>
      <w:pPr>
        <w:pStyle w:val="Heading2"/>
      </w:pPr>
      <w:bookmarkStart w:id="34" w:name="consent-for-publication"/>
      <w:r>
        <w:t xml:space="preserve">Consent for publication</w:t>
      </w:r>
      <w:bookmarkEnd w:id="34"/>
    </w:p>
    <w:p>
      <w:pPr>
        <w:pStyle w:val="FirstParagraph"/>
      </w:pPr>
      <w:r>
        <w:t xml:space="preserve">Not applicable.</w:t>
      </w:r>
    </w:p>
    <w:p>
      <w:pPr>
        <w:pStyle w:val="Heading2"/>
      </w:pPr>
      <w:bookmarkStart w:id="35" w:name="availability-of-data-and-material"/>
      <w:r>
        <w:t xml:space="preserve">Availability of data and material</w:t>
      </w:r>
      <w:bookmarkEnd w:id="35"/>
    </w:p>
    <w:p>
      <w:pPr>
        <w:pStyle w:val="FirstParagraph"/>
      </w:pPr>
      <w:r>
        <w:t xml:space="preserve">The R source code of the simulation programme is available as Additional file 1.</w:t>
      </w:r>
    </w:p>
    <w:p>
      <w:pPr>
        <w:pStyle w:val="Heading2"/>
      </w:pPr>
      <w:bookmarkStart w:id="36" w:name="competing-interests"/>
      <w:r>
        <w:t xml:space="preserve">Competing interests</w:t>
      </w:r>
      <w:bookmarkEnd w:id="36"/>
    </w:p>
    <w:p>
      <w:pPr>
        <w:pStyle w:val="FirstParagraph"/>
      </w:pPr>
      <w:r>
        <w:t xml:space="preserve">The authors declare that they have no competing interests.</w:t>
      </w:r>
    </w:p>
    <w:p>
      <w:pPr>
        <w:pStyle w:val="Heading2"/>
      </w:pPr>
      <w:bookmarkStart w:id="37" w:name="funding"/>
      <w:r>
        <w:t xml:space="preserve">Funding</w:t>
      </w:r>
      <w:bookmarkEnd w:id="37"/>
    </w:p>
    <w:p>
      <w:pPr>
        <w:pStyle w:val="FirstParagraph"/>
      </w:pPr>
      <w:r>
        <w:t xml:space="preserve">This study received no funding</w:t>
      </w:r>
    </w:p>
    <w:p>
      <w:pPr>
        <w:pStyle w:val="Heading2"/>
      </w:pPr>
      <w:bookmarkStart w:id="38" w:name="authors-contributions"/>
      <w:r>
        <w:t xml:space="preserve">Authors’ contributions</w:t>
      </w:r>
      <w:bookmarkEnd w:id="38"/>
    </w:p>
    <w:p>
      <w:pPr>
        <w:pStyle w:val="FirstParagraph"/>
      </w:pPr>
      <w:r>
        <w:t xml:space="preserve">JA and TWL</w:t>
      </w:r>
    </w:p>
    <w:p>
      <w:pPr>
        <w:numPr>
          <w:numId w:val="1003"/>
          <w:ilvl w:val="0"/>
        </w:numPr>
      </w:pPr>
      <w:r>
        <w:t xml:space="preserve">contributed to conception, design, acquisition of data, and analysis and interpretation of data;</w:t>
      </w:r>
    </w:p>
    <w:p>
      <w:pPr>
        <w:numPr>
          <w:numId w:val="1003"/>
          <w:ilvl w:val="0"/>
        </w:numPr>
      </w:pPr>
      <w:r>
        <w:t xml:space="preserve">was involved in writing and revising the manuscript;</w:t>
      </w:r>
    </w:p>
    <w:p>
      <w:pPr>
        <w:numPr>
          <w:numId w:val="1003"/>
          <w:ilvl w:val="0"/>
        </w:numPr>
      </w:pPr>
      <w:r>
        <w:t xml:space="preserve">gave final approval of the version to be published;</w:t>
      </w:r>
    </w:p>
    <w:p>
      <w:pPr>
        <w:numPr>
          <w:numId w:val="1003"/>
          <w:ilvl w:val="0"/>
        </w:numPr>
      </w:pPr>
      <w:r>
        <w:t xml:space="preserve">agreed to be accountable for all aspects of the work.</w:t>
      </w:r>
    </w:p>
    <w:p>
      <w:pPr>
        <w:pStyle w:val="Heading2"/>
      </w:pPr>
      <w:bookmarkStart w:id="39" w:name="acknowledgements"/>
      <w:r>
        <w:t xml:space="preserve">Acknowledgements</w:t>
      </w:r>
      <w:bookmarkEnd w:id="39"/>
    </w:p>
    <w:p>
      <w:pPr>
        <w:pStyle w:val="FirstParagraph"/>
      </w:pPr>
      <w:r>
        <w:t xml:space="preserve">Not applicable.</w:t>
      </w:r>
      <w:r>
        <w:t xml:space="preserve"> </w:t>
      </w:r>
      <w:r>
        <w:t xml:space="preserve"># References</w:t>
      </w:r>
    </w:p>
    <w:bookmarkStart w:id="53" w:name="refs"/>
    <w:bookmarkStart w:id="40"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40"/>
    <w:bookmarkStart w:id="41"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41"/>
    <w:bookmarkStart w:id="42" w:name="ref-anhoej2015"/>
    <w:p>
      <w:pPr>
        <w:pStyle w:val="Bibliography"/>
      </w:pPr>
      <w:r>
        <w:t xml:space="preserve">3. Anhøj J. Diagnostic value of run chart analysis: Using likelihood ratios to compare run chart rules on simulated data series. PLoS ONE. 2015;</w:t>
      </w:r>
      <w:r>
        <w:t xml:space="preserve"> </w:t>
      </w:r>
    </w:p>
    <w:bookmarkEnd w:id="42"/>
    <w:bookmarkStart w:id="44" w:name="ref-qicharts2"/>
    <w:p>
      <w:pPr>
        <w:pStyle w:val="Bibliography"/>
      </w:pPr>
      <w:r>
        <w:t xml:space="preserve">4. Anhøj J. qicharts2: Quality improvement charts [Internet]. 2019. Available from:</w:t>
      </w:r>
      <w:r>
        <w:t xml:space="preserve"> </w:t>
      </w:r>
      <w:hyperlink r:id="rId43">
        <w:r>
          <w:rPr>
            <w:rStyle w:val="Hyperlink"/>
          </w:rPr>
          <w:t xml:space="preserve">https://CRAN.R-project.org/package=qicharts2</w:t>
        </w:r>
      </w:hyperlink>
    </w:p>
    <w:bookmarkEnd w:id="44"/>
    <w:bookmarkStart w:id="45" w:name="ref-chen2010"/>
    <w:p>
      <w:pPr>
        <w:pStyle w:val="Bibliography"/>
      </w:pPr>
      <w:r>
        <w:t xml:space="preserve">5. Chen Z. A note on the runs test. Model Assisted Statistics and Applications. 2010;5:73–7.</w:t>
      </w:r>
      <w:r>
        <w:t xml:space="preserve"> </w:t>
      </w:r>
    </w:p>
    <w:bookmarkEnd w:id="45"/>
    <w:bookmarkStart w:id="46" w:name="ref-carey2002a"/>
    <w:p>
      <w:pPr>
        <w:pStyle w:val="Bibliography"/>
      </w:pPr>
      <w:r>
        <w:t xml:space="preserve">6. Carey RG. How do you know that your care is improving? Part 1: Basic concepts in statistical thinking. J Ambulatory Care Manage. 2002;25(1):80–7.</w:t>
      </w:r>
      <w:r>
        <w:t xml:space="preserve"> </w:t>
      </w:r>
    </w:p>
    <w:bookmarkEnd w:id="46"/>
    <w:bookmarkStart w:id="47" w:name="ref-schilling2012"/>
    <w:p>
      <w:pPr>
        <w:pStyle w:val="Bibliography"/>
      </w:pPr>
      <w:r>
        <w:t xml:space="preserve">7. Schilling MF. The surprising predictability of long runs. Mathematics Magazine. 2012;85:141–9.</w:t>
      </w:r>
      <w:r>
        <w:t xml:space="preserve"> </w:t>
      </w:r>
    </w:p>
    <w:bookmarkEnd w:id="47"/>
    <w:bookmarkStart w:id="49" w:name="ref-twl2018"/>
    <w:p>
      <w:pPr>
        <w:pStyle w:val="Bibliography"/>
      </w:pPr>
      <w:r>
        <w:t xml:space="preserve">8. Wentzel-Larsen T, Anhøj J. Crossrun: Joint distribution of number of crossings and longest run [Internet]. 2018. Available from:</w:t>
      </w:r>
      <w:r>
        <w:t xml:space="preserve"> </w:t>
      </w:r>
      <w:hyperlink r:id="rId48">
        <w:r>
          <w:rPr>
            <w:rStyle w:val="Hyperlink"/>
          </w:rPr>
          <w:t xml:space="preserve">https://CRAN.R-project.org/package=crossrun</w:t>
        </w:r>
      </w:hyperlink>
    </w:p>
    <w:bookmarkEnd w:id="49"/>
    <w:bookmarkStart w:id="50" w:name="ref-deeks2004"/>
    <w:p>
      <w:pPr>
        <w:pStyle w:val="Bibliography"/>
      </w:pPr>
      <w:r>
        <w:t xml:space="preserve">9. Deeks JJ, Altman DG. Diagnostic tests 4: Likelihood ratios. BMJ. 2004;329:168–9.</w:t>
      </w:r>
      <w:r>
        <w:t xml:space="preserve"> </w:t>
      </w:r>
    </w:p>
    <w:bookmarkEnd w:id="50"/>
    <w:bookmarkStart w:id="52" w:name="ref-rmpfr"/>
    <w:p>
      <w:pPr>
        <w:pStyle w:val="Bibliography"/>
      </w:pPr>
      <w:r>
        <w:t xml:space="preserve">10. Maechler M. Rmpfr: R mpfr - multiple precision floating-point reliable [Internet]. 2019. Available from:</w:t>
      </w:r>
      <w:r>
        <w:t xml:space="preserve"> </w:t>
      </w:r>
      <w:hyperlink r:id="rId51">
        <w:r>
          <w:rPr>
            <w:rStyle w:val="Hyperlink"/>
          </w:rPr>
          <w:t xml:space="preserve">https://CRAN.R-project.org/package=Rmpfr</w:t>
        </w:r>
      </w:hyperlink>
    </w:p>
    <w:bookmarkEnd w:id="52"/>
    <w:bookmarkEnd w:id="53"/>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1" Target="https://CRAN.R-project.org/package=Rmpfr" TargetMode="External" /><Relationship Type="http://schemas.openxmlformats.org/officeDocument/2006/relationships/hyperlink" Id="rId48" Target="https://CRAN.R-project.org/package=crossrun" TargetMode="External" /><Relationship Type="http://schemas.openxmlformats.org/officeDocument/2006/relationships/hyperlink" Id="rId43"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Rmpfr" TargetMode="External" /><Relationship Type="http://schemas.openxmlformats.org/officeDocument/2006/relationships/hyperlink" Id="rId48" Target="https://CRAN.R-project.org/package=crossrun" TargetMode="External" /><Relationship Type="http://schemas.openxmlformats.org/officeDocument/2006/relationships/hyperlink" Id="rId43"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2019-05-13T12:13:14Z</dcterms:created>
  <dcterms:modified xsi:type="dcterms:W3CDTF">2019-05-13T12:13:14Z</dcterms:modified>
</cp:coreProperties>
</file>