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61E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工业和信息化部等七部门关于推动未来产业创新发展的实施意见</w:t>
      </w:r>
    </w:p>
    <w:p w14:paraId="64B2DC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各省、自治区、直辖市及计划单列市、新疆生产建设兵团工业和信息化、教育、科技、交通运输、文化和旅游、国有资产监督管理主管部门，中国科学院院属各单位，各省、自治区、直辖市通信管理局，有关中央企业，各有关单位：</w:t>
      </w:r>
    </w:p>
    <w:p w14:paraId="0A272A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0112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未来产业由前沿技术驱动，当前处于孕育萌发阶段或产业化初期，是具有显著战略性、引领性、颠覆性和不确定性的前瞻性新兴产业。大力发展未来产业，是引领科技进步、带动产业升级、培育新质生产力的战略选择。为贯彻落实党的二十大精神和《中华人民共和国国民经济和社会发展第十四个五年规划和2035年远景目标纲要》，把握新一轮科技革命和产业变革机遇，围绕制造业主战场加快发展未来产业，支撑推进新型工业化，现提出如下意见。</w:t>
      </w:r>
    </w:p>
    <w:p w14:paraId="005914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09B2BD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Style w:val="6"/>
          <w:rFonts w:ascii="宋体" w:hAnsi="宋体" w:eastAsia="宋体" w:cs="宋体"/>
          <w:b/>
          <w:bCs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一、指导思想</w:t>
      </w:r>
    </w:p>
    <w:p w14:paraId="2EE5DC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3F8CC9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以习近平新时代中国特色社会主义思想为指导，全面贯彻党的二十大精神，完整、准确、全面贯彻新发展理念，加快构建新发展格局，统筹发展和安全，以传统产业的高端化升级和前沿技术的产业化落地为主线，以创新为动力，以企业为主体，以场景为牵引，以标志性产品为抓手，遵循科技创新及产业发展规律，加强前瞻谋划、政策引导，积极培育未来产业，加快形成新质生产力，为强国建设提供有力支撑。</w:t>
      </w:r>
    </w:p>
    <w:p w14:paraId="771E41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599EEE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Style w:val="6"/>
          <w:rFonts w:ascii="宋体" w:hAnsi="宋体" w:eastAsia="宋体" w:cs="宋体"/>
          <w:b/>
          <w:bCs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二、基本原则</w:t>
      </w:r>
    </w:p>
    <w:p w14:paraId="637D2C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6FC07C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前瞻部署、梯次培育。顺应新一轮科技革命和产业变革趋势，面向国家重大需求和战略必争领域，系统谋划，超前布局。把握未来产业发展规律，分阶段培育，动态调整。</w:t>
      </w:r>
    </w:p>
    <w:p w14:paraId="10085D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42CDF5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创新驱动、应用牵引。以前沿技术突破引领未来产业发展，加强原创性、颠覆性技术创新。以场景为牵引，贯通研发与应用，加快产业化进程。</w:t>
      </w:r>
    </w:p>
    <w:p w14:paraId="550472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502304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生态协同、系统推进。汇聚政产学研用等资源，融合资本、人才、技术、数据等要素，打造创新链产业链资金链人才链深度融合的产业生态。</w:t>
      </w:r>
    </w:p>
    <w:p w14:paraId="5C4392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3209B8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开放合作、安全有序。主动参与全球未来产业分工和合作，深度融入全球创新网络。统筹技术创新和伦理治理，营造包容审慎、安全可持续的发展环境。</w:t>
      </w:r>
    </w:p>
    <w:p w14:paraId="40A284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612EDF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Style w:val="6"/>
          <w:rFonts w:ascii="宋体" w:hAnsi="宋体" w:eastAsia="宋体" w:cs="宋体"/>
          <w:b/>
          <w:bCs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三、发展目标</w:t>
      </w:r>
    </w:p>
    <w:p w14:paraId="452E35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69C25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到2025年，未来产业技术创新、产业培育、安全治理等全面发展，部分领域达到国际先进水平，产业规模稳步提升。建设一批未来产业孵化器和先导区，突破百项前沿关键核心技术，形成百项标志性产品，打造百家领军企业，开拓百项典型应用场景，制定百项关键标准，培育百家专业服务机构，初步形成符合我国实际的未来产业发展模式。</w:t>
      </w:r>
    </w:p>
    <w:p w14:paraId="7446FD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61D517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到2027年，未来产业综合实力显著提升，部分领域实现全球引领。关键核心技术取得重大突破，一批新技术、新产品、新业态、新模式得到普遍应用，重点产业实现规模化发展，培育一批生态主导型领军企业，构建未来产业和优势产业、新兴产业、传统产业协同联动的发展格局，形成可持续发展的长效机制，成为世界未来产业重要策源地。</w:t>
      </w:r>
    </w:p>
    <w:p w14:paraId="274881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5C08A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Style w:val="6"/>
          <w:rFonts w:ascii="宋体" w:hAnsi="宋体" w:eastAsia="宋体" w:cs="宋体"/>
          <w:b/>
          <w:bCs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四、重点任务</w:t>
      </w:r>
    </w:p>
    <w:p w14:paraId="67018C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8D061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（一）全面布局未来产业</w:t>
      </w:r>
    </w:p>
    <w:p w14:paraId="5DF747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9BBA5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　　1.加强前瞻谋划部署。把握全球科技创新和产业发展趋势，重点推进未来制造、未来信息、未来材料、未来能源、未来空间和未来健康六大方向产业发展。打造未来产业瞭望站，利用人工智能、先进计算等技术精准识别和培育高潜能未来产业。发挥新型举国体制优势，引导地方结合产业基础和资源禀赋，合理规划、精准培育和错位发展未来产业。发挥前沿技术增量器作用，瞄准高端、智能和绿色等方向，加快传统产业转型升级，为建设现代化产业体系提供新动力。</w:t>
      </w:r>
    </w:p>
    <w:p w14:paraId="5F616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36"/>
      </w:tblGrid>
      <w:tr w14:paraId="09766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84" w:type="dxa"/>
              <w:right w:w="84" w:type="dxa"/>
            </w:tcMar>
            <w:vAlign w:val="top"/>
          </w:tcPr>
          <w:p w14:paraId="45112F5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" w:lineRule="atLeast"/>
              <w:ind w:left="0" w:right="0"/>
              <w:jc w:val="center"/>
              <w:rPr>
                <w:rFonts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专栏1：前瞻部署新赛道</w:t>
            </w:r>
          </w:p>
        </w:tc>
      </w:tr>
      <w:tr w14:paraId="7DD5D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6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84" w:type="dxa"/>
              <w:right w:w="84" w:type="dxa"/>
            </w:tcMar>
            <w:vAlign w:val="top"/>
          </w:tcPr>
          <w:p w14:paraId="7BB7645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未来制造。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发展智能制造、生物制造、纳米制造、激光制造、循环制造，突破智能控制、智能传感、模拟仿真等关键核心技术，推广柔性制造、共享制造等模式，推动工业互联网、工业元宇宙等发展。</w:t>
            </w:r>
          </w:p>
          <w:p w14:paraId="7EB1AB4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未来信息。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推动下一代移动通信、卫星互联网、量子信息等技术产业化应用，加快量子、光子等计算技术创新突破，加速类脑智能、群体智能、大模型等深度赋能，加速培育智能产业。</w:t>
            </w:r>
          </w:p>
          <w:p w14:paraId="1B2D0F3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未来材料。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推动有色金属、化工、无机非金属等先进基础材料升级，发展高性能碳纤维、先进半导体等关键战略材料，加快超导材料等前沿新材料创新应用。</w:t>
            </w:r>
          </w:p>
          <w:p w14:paraId="4954AD0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未来能源。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聚焦核能、核聚变、氢能、生物质能等重点领域，打造“采集-存储-运输-应用”全链条的未来能源装备体系。研发新型晶硅太阳能电池、薄膜太阳能电池等高效太阳能电池及相关电子专用设备，加快发展新型储能，推动能源电子产业融合升级。</w:t>
            </w:r>
          </w:p>
          <w:p w14:paraId="27F5C28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未来空间。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聚焦空天、深海、深地等领域，研制载人航天、探月探火、卫星导航、临空无人系统、先进高效航空器等高端装备，加快深海潜水器、深海作业装备、深海搜救探测设备、深海智能无人平台等研制及创新应用，推动深地资源探采、城市地下空间开发利用、极地探测与作业等领域装备研制。</w:t>
            </w:r>
          </w:p>
          <w:p w14:paraId="2B4BC21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未来健康。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加快细胞和基因技术、合成生物、生物育种等前沿技术产业化，推动5G/6G、元宇宙、人工智能等技术赋能新型医疗服务，研发融合数字孪生、脑机交互等先进技术的高端医疗装备和健康用品。</w:t>
            </w:r>
          </w:p>
        </w:tc>
      </w:tr>
    </w:tbl>
    <w:p w14:paraId="6251C5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45439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（二）加快技术创新和产业化</w:t>
      </w:r>
    </w:p>
    <w:p w14:paraId="4AE4F5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0E6278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2.提升创新能力。面向未来产业重点方向实施国家科技重大项目和重大科技攻关工程，加快突破关键核心技术。发挥国家实验室、全国重点实验室等创新载体作用，加强基础共性技术供给。鼓励龙头企业牵头组建创新联合体，集聚产学研用资源，体系化推进重点领域技术攻关。推动跨领域技术交叉融合创新，加快颠覆性技术突破，打造原创技术策源地。举办未来产业创新创业大赛，激发各界创新动能。</w:t>
      </w:r>
    </w:p>
    <w:p w14:paraId="25E0B6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0FB13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3.促进成果转化。发布前沿技术应用推广目录，建设未来产业成果“线上发布大厅”，打造产品交易平台，举办成果对接展会，推动供需精准对接。构建科技服务和技术市场新模式，遴选科技成果评价和转移转化专业机构，开拓应用场景和商业模式。落实首台（套）重大技术装备和首批次材料激励政策，加快新技术新产品应用推广。</w:t>
      </w:r>
    </w:p>
    <w:p w14:paraId="4D97F0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640EF2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（三）打造标志性产品</w:t>
      </w:r>
    </w:p>
    <w:p w14:paraId="0C8EDA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37C6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4.突破下一代智能终端。发展适应通用智能趋势的工业终端产品，支撑工业生产提质增效，赋能新型工业化。发展量大面广、智能便捷、沉浸体验的消费级终端，满足数字生活、数字文化、公共服务等新需求。打造智能适老的医疗健康终端，提升人民群众生命健康质量。突破高级别智能网联汽车、元宇宙入口等具有爆发潜能的超级终端，构筑产业竞争新优势。</w:t>
      </w:r>
    </w:p>
    <w:p w14:paraId="1DF262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96F89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5.做优信息服务产品。发展下一代操作系统，构筑安全可靠的数字底座。推广开源技术，建设开源社区，构建开源生态体系。探索以区块链为核心技术、以数据为关键要素，构建下一代互联网创新应用和数字化生态。面向新一代移动信息网络、类脑智能等加快软件产品研发，鼓励新产品示范应用，激发信息服务潜能。</w:t>
      </w:r>
    </w:p>
    <w:p w14:paraId="7DC63E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335412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6.做强未来高端装备。面向国家重大战略需求和人民美好生活需要，加快实施重大技术装备攻关工程，突破人形机器人、量子计算机、超高速列车、下一代大飞机、绿色智能船舶、无人船艇等高端装备产品，以整机带动新技术产业化落地，打造全球领先的高端装备体系。深入实施产业基础再造工程，补齐基础元器件、基础零部件、基础材料、基础工艺和基础软件等短板，夯实未来产业发展根基。</w:t>
      </w:r>
    </w:p>
    <w:p w14:paraId="2730F2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36"/>
      </w:tblGrid>
      <w:tr w14:paraId="224CA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84" w:type="dxa"/>
              <w:right w:w="84" w:type="dxa"/>
            </w:tcMar>
            <w:vAlign w:val="top"/>
          </w:tcPr>
          <w:p w14:paraId="640F5D6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center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专栏2：创新标志性产品</w:t>
            </w:r>
          </w:p>
        </w:tc>
      </w:tr>
      <w:tr w14:paraId="5478F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6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84" w:type="dxa"/>
              <w:right w:w="84" w:type="dxa"/>
            </w:tcMar>
            <w:vAlign w:val="top"/>
          </w:tcPr>
          <w:p w14:paraId="2A93335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人形机器人。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突破机器人高转矩密度伺服电机、高动态运动规划与控制、仿生感知与认知、智能灵巧手、电子皮肤等核心技术，重点推进智能制造、家庭服务、特殊环境作业等领域产品的研制及应用。</w:t>
            </w:r>
          </w:p>
          <w:p w14:paraId="60CC58E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量子计算机。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加强可容错通用量子计算技术研发，提升物理硬件指标和算法纠错性能，推动量子软件、量子云平台协同布置，发挥量子计算的优越性，探索向垂直行业应用渗透。</w:t>
            </w:r>
          </w:p>
          <w:p w14:paraId="5DDF852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新型显示。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加快量子点显示、全息显示等研究，突破Micro-LED、激光、印刷等显示技术并实现规模化应用，实现无障碍、全柔性、3D立体等显示效果，加快在智能终端、智能网联汽车、远程连接、文化内容呈现等场景中推广。</w:t>
            </w:r>
          </w:p>
          <w:p w14:paraId="6A85ACD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脑机接口。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突破脑机融合、类脑芯片、大脑计算神经模型等关键技术和核心器件，研制一批易用安全的脑机接口产品，鼓励探索在医疗康复、无人驾驶、虚拟现实等典型领域的应用。</w:t>
            </w:r>
          </w:p>
          <w:p w14:paraId="7DDFD96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6G网络设备。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开展先进无线通信、新型网络架构、跨域融合、空天地一体、网络与数据安全等技术研究，研制无线关键技术概念样机，形成以全息通信、数字孪生等为代表的特色应用。</w:t>
            </w:r>
          </w:p>
          <w:p w14:paraId="06C352B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超大规模新型智算中心。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加快突破GPU芯片、集群低时延互连网络、异构资源管理等技术，建设超大规模智算中心，满足大模型迭代训练和应用推理需求。</w:t>
            </w:r>
          </w:p>
          <w:p w14:paraId="3135CE1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第三代互联网。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推动第三代互联网在数据交易所应用试点，探索利用区块链技术打通重点行业及领域各主体平台数据，研究第三代互联网数字身份认证体系，建立数据治理和交易流通机制，形成可复制可推广的典型案例。</w:t>
            </w:r>
          </w:p>
          <w:p w14:paraId="3DF43B2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高端文旅装备。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研发支撑文化娱乐创作的专用及配套软件，推进演艺与游乐先进装备、水陆空旅游高端装备、沉浸式体验设施、智慧旅游系统及检测监测平台的研制，发展智能化、高端化、成套化文旅设备。</w:t>
            </w:r>
          </w:p>
          <w:p w14:paraId="6B52A21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先进高效航空装备。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围绕下一代大飞机发展，突破新型布局、智能驾驶、互联航电、多电系统、开式转子混合动力发动机等核心技术。推进超声速、超高效亚声速、新能源客机等先进概念研究。围绕未来智慧空中交通需求，加快电动垂直起降航空器、智能高效航空物流装备等研制及应用。</w:t>
            </w:r>
          </w:p>
          <w:p w14:paraId="431F0F6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深部资源勘探开发装备。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围绕深部作业需求，以超深层智能钻机工程样机、深海油气水下生产系统、深海多金属结核采矿车等高端资源勘探开发装备为牵引，推动一系列关键技术攻关。</w:t>
            </w:r>
          </w:p>
        </w:tc>
      </w:tr>
    </w:tbl>
    <w:p w14:paraId="47EC55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20C4DC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（四）壮大产业主体</w:t>
      </w:r>
    </w:p>
    <w:p w14:paraId="13558D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73408B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7.培育高水平企业梯队。引导领军企业前瞻谋划新赛道，通过内部创业、投资孵化等培育未来产业新主体。实施中央企业未来产业启航行动计划，加快培育未来产业新企业。建设未来产业创新型中小企业孵化基地，梯度培育专精特新中小企业、高新技术企业和“小巨人”企业。支持新型研发机构快速发展，培育多元化的未来产业推进力量。</w:t>
      </w:r>
    </w:p>
    <w:p w14:paraId="43904E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38A073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8.打造特色产业链。依托龙头企业培育未来产业产业链，建设先进技术体系。鼓励有条件的地区先行先试，结合国家自主创新示范区、国家高新技术产业开发区、新型工业化产业示范基地等，创建未来产业先导区，推动产业特色化集聚发展。创新管理机制，建设数字化的供应链产业链，促进创新资源汇聚，加速数据、知识等生产要素高效流通。</w:t>
      </w:r>
    </w:p>
    <w:p w14:paraId="6C3CC0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50C3EB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9.构建产业生态。加强产学研用协作，打造未来产业创新联合体，构建大中小企业融通发展、产业链上下游协同创新的生态体系。强化全国统一大市场下的标准互认和要素互通，提升产业链供应链韧性，构建产品配套、软硬协同的产业生态。</w:t>
      </w:r>
    </w:p>
    <w:p w14:paraId="307963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5C5D9B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（五）丰富应用场景</w:t>
      </w:r>
    </w:p>
    <w:p w14:paraId="30A6F4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5BE700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10.开拓新型工业化场景。围绕装备、原材料、消费品等重点领域，面向设计、生产、检测、运维等环节打造应用试验场，以产品规模化迭代应用促进未来产业技术成熟。深化新一代信息技术与制造业融合，加快推动产业链结构、流程与模式重构，开拓未来制造新应用。发挥中央企业丰富场景优势，加快建设多元化未来制造场景。加快工业元宇宙、生物制造等新兴场景推广，以场景创新带动制造业转型升级。</w:t>
      </w:r>
    </w:p>
    <w:p w14:paraId="198750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2A048B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11.打造跨界融合场景。依托重大活动，实现前沿技术和产品的跨领域、综合性试点应用，打造示范标杆。依托载人航天、深海深地等重大工程和项目场景，加速探索未来空间方向的成果创新应用，服务国家战略需求。依托城市群和都市圈建设，打造绿色集约的产城融合场景。创新未来信息服务场景，加速形成普惠均等、便捷智慧的信息服务新范式。</w:t>
      </w:r>
    </w:p>
    <w:p w14:paraId="651D99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343697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12.建设标志性场景。定期遴选发布典型应用场景清单和推荐目录，建立优秀案例和解决方案库。引导地方开发特色化的标杆示范场景，依托场景组织高水平供需对接活动，加速新技术新产品推广。鼓励企业面向应用场景开展创新研发，支持高校和科研院所针对原创性、颠覆性技术，建设早期试验场景，引领未来技术迭代突破。</w:t>
      </w:r>
    </w:p>
    <w:p w14:paraId="2A4C2B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211FCC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（六）优化产业支撑体系</w:t>
      </w:r>
    </w:p>
    <w:p w14:paraId="6FACB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356C0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13.加强标准引领与专利护航。结合未来产业发展需求，统筹布局未来产业标准化发展路线，加快重点标准研制。针对重点标准适时开展宣贯和培训，引导企业对标达标，加速未来产业标准应用推广。促进标准、专利与技术协同发展，引导企业将自主知识产权与技术标准相融合。完善关键领域自主知识产权建设及储备机制，深化国际国内知识产权组织协作，构建未来产业高质量专利遴选、评价及推广体系。</w:t>
      </w:r>
    </w:p>
    <w:p w14:paraId="02D0BD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36"/>
      </w:tblGrid>
      <w:tr w14:paraId="7C251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84" w:type="dxa"/>
              <w:right w:w="84" w:type="dxa"/>
            </w:tcMar>
            <w:vAlign w:val="top"/>
          </w:tcPr>
          <w:p w14:paraId="4CE7AE8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center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专栏3：强化标准引领</w:t>
            </w:r>
          </w:p>
        </w:tc>
      </w:tr>
      <w:tr w14:paraId="0861C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6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left w:w="84" w:type="dxa"/>
              <w:right w:w="84" w:type="dxa"/>
            </w:tcMar>
            <w:vAlign w:val="top"/>
          </w:tcPr>
          <w:p w14:paraId="5AF7831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前瞻布局标准研究。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聚焦元宇宙、脑机接口、量子信息等重点领域，制定标准化路线图，研制基础通用、关键技术、试验方法、重点产品、典型应用以及安全伦理等标准，适时推动相关标准制定。</w:t>
            </w:r>
          </w:p>
          <w:p w14:paraId="4952864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推动标准应用试点。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组织有关行业协会、标准化专业机构和技术组织，围绕企业发展需求，开展未来产业领域标准的宣贯、培训，将先进技术、先进理念、先进方法以标准形式导入企业研发、生产、管理等环节。</w:t>
            </w:r>
          </w:p>
          <w:p w14:paraId="71E7DB6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深化标准国际合作。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支持国内企事业单位深度参与国际电信联盟（ITU）、国际标准化组织（ISO）、国际电工委员会（IEC）等国际标准化活动，组织产业链上下游企业共同推进国际标准研制，探索成立国际性标准化联盟组织。</w:t>
            </w:r>
          </w:p>
          <w:p w14:paraId="7613165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2" w:lineRule="atLeast"/>
              <w:ind w:left="0" w:right="0"/>
              <w:jc w:val="left"/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</w:rPr>
            </w:pPr>
            <w:r>
              <w:rPr>
                <w:rStyle w:val="6"/>
                <w:rFonts w:hint="default" w:ascii="none" w:hAnsi="none" w:eastAsia="none" w:cs="none"/>
                <w:b/>
                <w:bCs/>
                <w:i w:val="0"/>
                <w:iCs w:val="0"/>
                <w:sz w:val="19"/>
                <w:szCs w:val="19"/>
                <w:bdr w:val="none" w:color="auto" w:sz="0" w:space="0"/>
              </w:rPr>
              <w:t>构建知识产权体系。</w:t>
            </w:r>
            <w:r>
              <w:rPr>
                <w:rFonts w:hint="default" w:ascii="none" w:hAnsi="none" w:eastAsia="none" w:cs="none"/>
                <w:i w:val="0"/>
                <w:iCs w:val="0"/>
                <w:sz w:val="19"/>
                <w:szCs w:val="19"/>
                <w:bdr w:val="none" w:color="auto" w:sz="0" w:space="0"/>
              </w:rPr>
              <w:t>建设未来产业知识产权运营服务平台，开展知识产权风险监测与评估。组建知识产权联盟，建设产业专利池，开展重点产业链专利分析，建设高质量专利遴选、评价及推广体系。</w:t>
            </w:r>
          </w:p>
        </w:tc>
      </w:tr>
    </w:tbl>
    <w:p w14:paraId="604F0B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75AF9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14.同步构筑中试能力。按产业需求建设一批中试和应用验证平台，提升精密测量仪器、高端试验设备、设计仿真软件等供给能力，为关键技术验证提供试用环境，加快新技术向现实生产力转化。建设一批中试公共服务机构，提高工程开发、技术熟化、样品试制、测试验证等中试服务水平。</w:t>
      </w:r>
    </w:p>
    <w:p w14:paraId="1359F4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431289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15.建设专业人才队伍。大力培育未来产业领军企业家和科学家，优化鼓励原创、宽容失败的创新创业环境。激发科研人员创新活力，建设一批未来技术学院，探索复合型创新人才的培养模式。强化校企联合培养，拓展海外引才渠道，加大前沿领域紧缺高层次人才的引进力度。</w:t>
      </w:r>
    </w:p>
    <w:p w14:paraId="4CAEA3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358DDF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16.强化新型基础设施。深入推进5G、算力基础设施、工业互联网、物联网、车联网、千兆光网等建设，前瞻布局6G、卫星互联网、手机直连卫星等关键技术研究，构建高速泛在、集成互联、智能绿色、安全高效的新型数字基础设施。引导重大科技基础设施服务未来产业，深化设施、设备和数据共享，加速前沿技术转化应用。推进新一代信息技术向交通、能源、水利等传统基础设施融合赋能，发展公路数字经济，加快基础设施数字化转型。</w:t>
      </w:r>
    </w:p>
    <w:p w14:paraId="04958C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0F64EC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Style w:val="6"/>
          <w:rFonts w:ascii="宋体" w:hAnsi="宋体" w:eastAsia="宋体" w:cs="宋体"/>
          <w:b/>
          <w:bCs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五、保障措施</w:t>
      </w:r>
    </w:p>
    <w:p w14:paraId="1679DA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6A59C7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一）加强统筹协调。在中央科技委领导下，按照国家制造强国建设领导小组要求，形成部际协同、央地协作的工作格局。以实施意见为指南，围绕脑机接口、量子信息等专业领域制定专项政策文件，形成完备的未来产业政策体系。发挥行业协会等社会组织作用，推广先进的典型案例，营造推进未来产业发展的良好氛围。</w:t>
      </w:r>
    </w:p>
    <w:p w14:paraId="4D6BD7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00E2F6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二）加大金融支持。推动制造业转型升级基金、国家中小企业发展基金等加大投入，实施“科技产业金融一体化”专项，带动更多资本投早投小投硬科技。完善金融财税支持政策，鼓励政策性银行和金融机构等加大投入，引导地方设立未来产业专项资金，探索建立风险补偿专项资金，优化风险拨备资金等补偿措施。</w:t>
      </w:r>
    </w:p>
    <w:p w14:paraId="671BED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105A78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三）强化安全治理。坚持包容审慎的治理理念，探索跨部门联合治理模式，构建多方参与、有效协同的未来产业治理格局。加强伦理规范研究，科学划定“红线”和“底线”，构建鉴别-评估-防御-治理一体化机制。引导企业建立数据管理、产品开发等自律机制，完善安全监测、预警分析和应急处置手段，防范前沿技术应用风险。</w:t>
      </w:r>
    </w:p>
    <w:p w14:paraId="0BFDA0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</w:p>
    <w:p w14:paraId="5916FF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" w:lineRule="atLeast"/>
        <w:ind w:left="0" w:right="0" w:firstLine="420"/>
        <w:jc w:val="left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</w:rPr>
      </w:pP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19"/>
          <w:szCs w:val="19"/>
          <w:bdr w:val="none" w:color="auto" w:sz="0" w:space="0"/>
        </w:rPr>
        <w:t>（四）深化国际合作。依托“一带一路”等机制，鼓励国内企业与研究机构走出去，深度参与全球未来产业分工。鼓励跨国公司、国外科研机构等在我国建设前沿技术研发中心，推动国内外企业联合开展技术研发和产业化应用。举办全球未来产业发展论坛等活动，组建未来产业国际创新联盟。加强与相关国际组织合作，主动参与国际治理规则和国际标准制定，积极贡献中国产品、中国方案和中国智慧。</w:t>
      </w:r>
    </w:p>
    <w:p w14:paraId="1F0BB4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C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2026-04-15T03:36:08Z</dcterms:created>
  <dc:creator>31981</dc:creator>
  <cp:lastModifiedBy>晚风</cp:lastModifiedBy>
  <dcterms:modified xsi:type="dcterms:W3CDTF">2026-04-15T03:36:36Z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eyJoZGlkIjoiMmVkYTM2Yzg3ZDllNjNmMzNmZGUxZDMyZWUxYTFiNTUiLCJ1c2VySWQiOiI3MDA0NjE4MTIifQ==</vt:lpwstr>
  </property>
  <property fmtid="{D5CDD505-2E9C-101B-9397-08002B2CF9AE}" pid="4" name="ICV">
    <vt:lpwstr>33211A50CF7D422BA4F8B49D4D17E840_12</vt:lpwstr>
  </property>
</Properties>
</file>