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A Systems Approach to Expanding Capital: A Case Study on Investing in Women in Utah</w:t>
      </w:r>
    </w:p>
    <w:p>
      <w:r>
        <w:rPr>
          <w:i/>
          <w:sz w:val="26"/>
        </w:rPr>
        <w:t>Please join us for this 60-minute working session!</w:t>
      </w:r>
    </w:p>
    <w:p>
      <w:r>
        <w:rPr>
          <w:b/>
          <w:sz w:val="24"/>
        </w:rPr>
        <w:t>Thursday, June 11, 2026</w:t>
      </w:r>
      <w:r>
        <w:br/>
      </w:r>
      <w:r>
        <w:rPr>
          <w:b/>
          <w:sz w:val="24"/>
        </w:rPr>
        <w:t>10:00 am MT</w:t>
      </w:r>
    </w:p>
    <w:p>
      <w:pPr>
        <w:pStyle w:val="Heading1"/>
      </w:pPr>
      <w:r>
        <w:t>Session Description</w:t>
      </w:r>
    </w:p>
    <w:p>
      <w:r>
        <w:t>Systems of finance are shifting. $30 trillion is moving to women by 2030. Impact investing is gaining ground. Secrecy about money is lifting. Yet the underlying structures, mental models, and feedback loops of finance still shape who gets funded and who gets seen.</w:t>
      </w:r>
    </w:p>
    <w:p>
      <w:r>
        <w:t>This session is a live case study and working session. Together with the room, Tori and Cassie will map what it takes to launch a new initiative for investing in women in Utah: the stakeholders and power dynamics already in play, the feedback loops that keep capital flowing to the same people, and the self-limiting mental models that close doors before they open.</w:t>
      </w:r>
    </w:p>
    <w:p>
      <w:r>
        <w:t>You will leave with a working frame for regenerative finance, a starter systems map you can adapt to your own community, and a clearer view of where this skillset becomes a revenue-generating moment in your own work.</w:t>
      </w:r>
    </w:p>
    <w:p>
      <w:r>
        <w:rPr>
          <w:i/>
        </w:rPr>
        <w:t>Format: ~45 minutes mapping together, ~15 minutes for Q&amp;A and discussion.</w:t>
      </w:r>
    </w:p>
    <w:p>
      <w:pPr>
        <w:pStyle w:val="Heading1"/>
      </w:pPr>
      <w:r>
        <w:t>Speaker Bios</w:t>
      </w:r>
    </w:p>
    <w:p>
      <w:r>
        <w:rPr>
          <w:b/>
        </w:rPr>
        <w:t>Tori Horton</w:t>
      </w:r>
      <w:r>
        <w:t xml:space="preserve"> is the founder of Silver &amp; Salt Capital, a women-led syndicate investing in women-led companies. A systems thinker and executive leader with cross-functional experience across research, product, and marketing, she builds products and brand experiences that turn customer insight into meaningful social impact.</w:t>
      </w:r>
    </w:p>
    <w:p>
      <w:r>
        <w:rPr>
          <w:b/>
        </w:rPr>
        <w:t>Cassie F. Bingham</w:t>
      </w:r>
      <w:r>
        <w:t xml:space="preserve"> is a social impact and innovation leader, educator, and consultant specializing in systems and design thinking, social change strategy, and applied relationality. She helps communities decrease suffering and increase well-being by understanding and redesigning the systems that shape them.</w:t>
      </w:r>
    </w:p>
    <w:p>
      <w:pPr>
        <w:pStyle w:val="Heading1"/>
      </w:pPr>
      <w:r>
        <w:t>Links</w:t>
      </w:r>
    </w:p>
    <w:p>
      <w:pPr>
        <w:pStyle w:val="ListBullet"/>
      </w:pPr>
      <w:r>
        <w:t>silverandsaltcapital.com</w:t>
      </w:r>
    </w:p>
    <w:p>
      <w:pPr>
        <w:pStyle w:val="ListBullet"/>
      </w:pPr>
      <w:r>
        <w:t>[Cassie's link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