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DUOC UC</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sz w:val="24"/>
          <w:szCs w:val="24"/>
          <w:rtl w:val="0"/>
        </w:rPr>
        <w:t xml:space="preserve">Sede Melipilla</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b w:val="1"/>
          <w:bCs w:val="1"/>
          <w:sz w:val="30"/>
          <w:szCs w:val="30"/>
          <w:rtl w:val="0"/>
        </w:rPr>
        <w:t xml:space="preserve">APOYO A LA FACTIBILIDAD TÉCNICA</w:t>
      </w:r>
      <w:r w:rsidDel="00000000" w:rsidR="00000000" w:rsidRPr="00000000">
        <w:rPr>
          <w:rtl w:val="0"/>
        </w:rPr>
      </w:r>
    </w:p>
    <w:p w:rsidR="00000000" w:rsidDel="00000000" w:rsidP="00000000" w:rsidRDefault="00000000" w:rsidRPr="00000000" w14:paraId="00000006">
      <w:pPr>
        <w:spacing w:after="600" w:lineRule="auto"/>
        <w:jc w:val="center"/>
        <w:rPr>
          <w:i w:val="1"/>
          <w:iCs w:val="1"/>
          <w:sz w:val="24"/>
          <w:szCs w:val="24"/>
        </w:rPr>
      </w:pPr>
      <w:r w:rsidDel="00000000" w:rsidR="00000000" w:rsidRPr="00000000">
        <w:rPr>
          <w:i w:val="1"/>
          <w:iCs w:val="1"/>
          <w:sz w:val="24"/>
          <w:szCs w:val="24"/>
          <w:rtl w:val="0"/>
        </w:rPr>
        <w:t xml:space="preserve">Evaluación preliminar — Sistema de Gestión de Refrigerantes AFRISAN</w:t>
      </w:r>
    </w:p>
    <w:p w:rsidR="00000000" w:rsidDel="00000000" w:rsidP="00000000" w:rsidRDefault="00000000" w:rsidRPr="00000000" w14:paraId="00000007">
      <w:pPr>
        <w:spacing w:after="600" w:lineRule="auto"/>
        <w:jc w:val="center"/>
        <w:rPr>
          <w:i w:val="1"/>
          <w:iCs w:val="1"/>
          <w:sz w:val="24"/>
          <w:szCs w:val="24"/>
        </w:rPr>
      </w:pPr>
      <w:r w:rsidDel="00000000" w:rsidR="00000000" w:rsidRPr="00000000">
        <w:rPr>
          <w:rtl w:val="0"/>
        </w:rPr>
      </w:r>
    </w:p>
    <w:p w:rsidR="00000000" w:rsidDel="00000000" w:rsidP="00000000" w:rsidRDefault="00000000" w:rsidRPr="00000000" w14:paraId="00000008">
      <w:pPr>
        <w:spacing w:after="600" w:lineRule="auto"/>
        <w:jc w:val="center"/>
        <w:rPr>
          <w:i w:val="1"/>
          <w:iCs w:val="1"/>
          <w:sz w:val="24"/>
          <w:szCs w:val="24"/>
        </w:rPr>
      </w:pPr>
      <w:r w:rsidDel="00000000" w:rsidR="00000000" w:rsidRPr="00000000">
        <w:rPr>
          <w:rtl w:val="0"/>
        </w:rPr>
      </w:r>
    </w:p>
    <w:p w:rsidR="00000000" w:rsidDel="00000000" w:rsidP="00000000" w:rsidRDefault="00000000" w:rsidRPr="00000000" w14:paraId="00000009">
      <w:pPr>
        <w:spacing w:after="600" w:lineRule="auto"/>
        <w:jc w:val="center"/>
        <w:rPr>
          <w:i w:val="1"/>
          <w:iCs w:val="1"/>
          <w:sz w:val="24"/>
          <w:szCs w:val="24"/>
        </w:rPr>
      </w:pPr>
      <w:r w:rsidDel="00000000" w:rsidR="00000000" w:rsidRPr="00000000">
        <w:rPr>
          <w:rtl w:val="0"/>
        </w:rPr>
      </w:r>
    </w:p>
    <w:p w:rsidR="00000000" w:rsidDel="00000000" w:rsidP="00000000" w:rsidRDefault="00000000" w:rsidRPr="00000000" w14:paraId="0000000A">
      <w:pPr>
        <w:spacing w:after="600" w:lineRule="auto"/>
        <w:jc w:val="center"/>
        <w:rPr>
          <w:i w:val="1"/>
          <w:iCs w:val="1"/>
          <w:sz w:val="24"/>
          <w:szCs w:val="24"/>
        </w:rPr>
      </w:pPr>
      <w:r w:rsidDel="00000000" w:rsidR="00000000" w:rsidRPr="00000000">
        <w:rPr>
          <w:rtl w:val="0"/>
        </w:rPr>
      </w:r>
    </w:p>
    <w:p w:rsidR="00000000" w:rsidDel="00000000" w:rsidP="00000000" w:rsidRDefault="00000000" w:rsidRPr="00000000" w14:paraId="0000000B">
      <w:pPr>
        <w:spacing w:after="600" w:lineRule="auto"/>
        <w:jc w:val="center"/>
        <w:rPr>
          <w:i w:val="1"/>
          <w:iCs w:val="1"/>
          <w:sz w:val="24"/>
          <w:szCs w:val="24"/>
        </w:rPr>
      </w:pPr>
      <w:r w:rsidDel="00000000" w:rsidR="00000000" w:rsidRPr="00000000">
        <w:rPr>
          <w:rtl w:val="0"/>
        </w:rPr>
      </w:r>
    </w:p>
    <w:p w:rsidR="00000000" w:rsidDel="00000000" w:rsidP="00000000" w:rsidRDefault="00000000" w:rsidRPr="00000000" w14:paraId="0000000C">
      <w:pPr>
        <w:spacing w:after="600" w:lineRule="auto"/>
        <w:rPr/>
      </w:pP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b w:val="1"/>
          <w:bCs w:val="1"/>
          <w:sz w:val="22"/>
          <w:szCs w:val="22"/>
          <w:rtl w:val="0"/>
        </w:rPr>
        <w:t xml:space="preserve">Responsable de esta entrega: </w:t>
      </w:r>
      <w:r w:rsidDel="00000000" w:rsidR="00000000" w:rsidRPr="00000000">
        <w:rPr>
          <w:sz w:val="22"/>
          <w:szCs w:val="22"/>
          <w:rtl w:val="0"/>
        </w:rPr>
        <w:t xml:space="preserve">Yarek Larraguibel — Arquitectura técnica</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b w:val="1"/>
          <w:bCs w:val="1"/>
          <w:rtl w:val="0"/>
        </w:rPr>
        <w:t xml:space="preserve">Integrantes del proyecto: </w:t>
      </w:r>
      <w:r w:rsidDel="00000000" w:rsidR="00000000" w:rsidRPr="00000000">
        <w:rPr>
          <w:rtl w:val="0"/>
        </w:rPr>
        <w:t>Dante Moya, Yarek Larraguibel</w:t>
      </w:r>
    </w:p>
    <w:p w:rsidR="00000000" w:rsidDel="00000000" w:rsidP="00000000" w:rsidRDefault="00000000" w:rsidRPr="00000000" w14:paraId="0000000F">
      <w:pPr>
        <w:spacing w:after="100" w:lineRule="auto"/>
        <w:rPr/>
      </w:pPr>
      <w:r w:rsidDel="00000000" w:rsidR="00000000" w:rsidRPr="00000000">
        <w:rPr>
          <w:b w:val="1"/>
          <w:bCs w:val="1"/>
          <w:rtl w:val="0"/>
        </w:rPr>
        <w:t xml:space="preserve">Docente guía: </w:t>
      </w:r>
      <w:r w:rsidDel="00000000" w:rsidR="00000000" w:rsidRPr="00000000">
        <w:rPr>
          <w:rtl w:val="0"/>
        </w:rPr>
        <w:t xml:space="preserve">Carlos Quintanilla</w:t>
      </w:r>
    </w:p>
    <w:p w:rsidR="00000000" w:rsidDel="00000000" w:rsidP="00000000" w:rsidRDefault="00000000" w:rsidRPr="00000000" w14:paraId="00000010">
      <w:pPr>
        <w:spacing w:after="100" w:lineRule="auto"/>
        <w:rPr/>
      </w:pPr>
      <w:r w:rsidDel="00000000" w:rsidR="00000000" w:rsidRPr="00000000">
        <w:rPr>
          <w:b w:val="1"/>
          <w:bCs w:val="1"/>
          <w:rtl w:val="0"/>
        </w:rPr>
        <w:t xml:space="preserve">Documento: </w:t>
      </w:r>
      <w:r w:rsidDel="00000000" w:rsidR="00000000" w:rsidRPr="00000000">
        <w:rPr>
          <w:rtl w:val="0"/>
        </w:rPr>
        <w:t xml:space="preserve">Apoyo a Factibilidad Técnica</w:t>
      </w:r>
    </w:p>
    <w:p w:rsidR="00000000" w:rsidDel="00000000" w:rsidP="00000000" w:rsidRDefault="00000000" w:rsidRPr="00000000" w14:paraId="00000011">
      <w:pPr>
        <w:spacing w:after="100" w:lineRule="auto"/>
        <w:rPr/>
      </w:pPr>
      <w:r w:rsidDel="00000000" w:rsidR="00000000" w:rsidRPr="00000000">
        <w:rPr>
          <w:b w:val="1"/>
          <w:bCs w:val="1"/>
          <w:rtl w:val="0"/>
        </w:rPr>
        <w:t>Fecha: 28/09/2026</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b w:val="1"/>
          <w:bCs w:val="1"/>
          <w:rtl w:val="0"/>
        </w:rPr>
        <w:t xml:space="preserve">Versión: </w:t>
      </w:r>
      <w:r w:rsidDel="00000000" w:rsidR="00000000" w:rsidRPr="00000000">
        <w:rPr>
          <w:rtl w:val="0"/>
        </w:rPr>
        <w:t>1.1</w:t>
      </w:r>
      <w:r w:rsidDel="00000000" w:rsidR="00000000" w:rsidRPr="00000000">
        <w:br w:type="page"/>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tl w:val="0"/>
        </w:rPr>
      </w:r>
    </w:p>
    <w:p w:rsidR="00000000" w:rsidDel="00000000" w:rsidP="00000000" w:rsidRDefault="00000000" w:rsidRPr="00000000" w14:paraId="00000014">
      <w:pPr>
        <w:pStyle w:val="Heading1"/>
        <w:spacing w:after="200" w:before="400" w:lineRule="auto"/>
        <w:rPr/>
      </w:pPr>
      <w:r w:rsidDel="00000000" w:rsidR="00000000" w:rsidRPr="00000000">
        <w:rPr>
          <w:rtl w:val="0"/>
        </w:rPr>
        <w:t xml:space="preserve">1. Introducción</w:t>
      </w:r>
    </w:p>
    <w:p w:rsidR="00000000" w:rsidDel="00000000" w:rsidP="00000000" w:rsidRDefault="00000000" w:rsidRPr="00000000" w14:paraId="00000015">
      <w:pPr>
        <w:spacing w:after="160" w:line="276" w:lineRule="auto"/>
        <w:rPr/>
      </w:pPr>
      <w:r w:rsidDel="00000000" w:rsidR="00000000" w:rsidRPr="00000000">
        <w:rPr>
          <w:rtl w:val="0"/>
        </w:rPr>
        <w:t xml:space="preserve">Este documento entrega un análisis de apoyo a la factibilidad técnica del proyecto APT AFRISAN, como insumo para la evaluación de factibilidad general del Proyecto de Título. Se evalúan las dimensiones tecnológica, de infraestructura, de integración/trabajo offline, de seguridad y de capacidad del equipo, y se comparan alternativas tecnológicas relevantes.</w:t>
      </w:r>
    </w:p>
    <w:p w:rsidR="00000000" w:rsidDel="00000000" w:rsidP="00000000" w:rsidRDefault="00000000" w:rsidRPr="00000000" w14:paraId="00000016">
      <w:pPr>
        <w:pStyle w:val="Heading1"/>
        <w:spacing w:after="200" w:before="400" w:lineRule="auto"/>
        <w:rPr/>
      </w:pPr>
      <w:r w:rsidDel="00000000" w:rsidR="00000000" w:rsidRPr="00000000">
        <w:rPr>
          <w:rtl w:val="0"/>
        </w:rPr>
        <w:t xml:space="preserve">2. Factibilidad tecnológica</w:t>
      </w:r>
    </w:p>
    <w:p w:rsidR="00000000" w:rsidDel="00000000" w:rsidP="00000000" w:rsidRDefault="00000000" w:rsidRPr="00000000" w14:paraId="00000017">
      <w:pPr>
        <w:spacing w:after="160" w:line="276" w:lineRule="auto"/>
        <w:rPr/>
      </w:pPr>
      <w:r w:rsidDel="00000000" w:rsidR="00000000" w:rsidRPr="00000000">
        <w:rPr>
          <w:rtl w:val="0"/>
        </w:rPr>
        <w:t xml:space="preserve">Las tecnologías seleccionadas para AFRISAN —.NET MAUI (.NET 8), Blazor WebAssembly (.NET 8), ASP.NET Core Web API (.NET 8), Entity Framework Core 8, PostgreSQL 16 en Supabase, SQLite, Microsoft Azure App Service y Power BI— son tecnologías maduras, documentadas y compatibles entre sí. La concentración del desarrollo principal en el ecosistema .NET reduce la complejidad de integración y el riesgo tecnológico del proyecto.</w:t>
      </w:r>
    </w:p>
    <w:p w:rsidR="00000000" w:rsidDel="00000000" w:rsidP="00000000" w:rsidRDefault="00000000" w:rsidRPr="00000000" w14:paraId="00000018">
      <w:pPr>
        <w:pStyle w:val="Heading1"/>
        <w:spacing w:after="200" w:before="400" w:lineRule="auto"/>
        <w:rPr/>
      </w:pPr>
      <w:r w:rsidDel="00000000" w:rsidR="00000000" w:rsidRPr="00000000">
        <w:rPr>
          <w:rtl w:val="0"/>
        </w:rPr>
        <w:t xml:space="preserve">3. Factibilidad de infraestructura</w:t>
      </w:r>
    </w:p>
    <w:p w:rsidR="00000000" w:rsidDel="00000000" w:rsidP="00000000" w:rsidRDefault="00000000" w:rsidRPr="00000000" w14:paraId="00000019">
      <w:pPr>
        <w:spacing w:after="160" w:line="276" w:lineRule="auto"/>
        <w:rPr/>
      </w:pPr>
      <w:r w:rsidDel="00000000" w:rsidR="00000000" w:rsidRPr="00000000">
        <w:rPr>
          <w:rtl w:val="0"/>
        </w:rPr>
        <w:t xml:space="preserve">La solución propuesta no requiere infraestructura física adicional relevante por parte de AFRISAN: los dispositivos móviles y estaciones de trabajo ya existen o son de bajo costo de adquisición, y el backend/base de datos se aloja en servicios cloud gestionados, evitando la necesidad de servidores propios o de personal de TI dedicado a su mantención.</w:t>
      </w:r>
    </w:p>
    <w:p w:rsidR="00000000" w:rsidDel="00000000" w:rsidP="00000000" w:rsidRDefault="00000000" w:rsidRPr="00000000" w14:paraId="0000001A">
      <w:pPr>
        <w:pStyle w:val="Heading1"/>
        <w:spacing w:after="200" w:before="400" w:lineRule="auto"/>
        <w:rPr/>
      </w:pPr>
      <w:r w:rsidDel="00000000" w:rsidR="00000000" w:rsidRPr="00000000">
        <w:rPr>
          <w:rtl w:val="0"/>
        </w:rPr>
        <w:t xml:space="preserve">4. Factibilidad de integración y trabajo offline</w:t>
      </w:r>
    </w:p>
    <w:p w:rsidR="00000000" w:rsidDel="00000000" w:rsidP="00000000" w:rsidRDefault="00000000" w:rsidRPr="00000000" w14:paraId="0000001B">
      <w:pPr>
        <w:spacing w:after="160" w:line="276" w:lineRule="auto"/>
        <w:rPr/>
      </w:pPr>
      <w:r w:rsidDel="00000000" w:rsidR="00000000" w:rsidRPr="00000000">
        <w:rPr>
          <w:rtl w:val="0"/>
        </w:rPr>
        <w:t>El requisito de funcionamiento offline en la app móvil (RF-06) es técnicamente factible mediante SQLite local y un mecanismo de sincronización diferida con la API REST. Este patrón permite registrar información en terreno sin conectividad y sincronizarla cuando se recupera el acceso a Internet. Se mantiene como punto de atención el diseño de reglas de resolución de conflictos de sincronización, identificado como un riesgo técnico relevante del proyecto.</w:t>
      </w:r>
    </w:p>
    <w:p w:rsidR="00000000" w:rsidDel="00000000" w:rsidP="00000000" w:rsidRDefault="00000000" w:rsidRPr="00000000" w14:paraId="0000001C">
      <w:pPr>
        <w:pStyle w:val="Heading1"/>
        <w:spacing w:after="200" w:before="400" w:lineRule="auto"/>
        <w:rPr/>
      </w:pPr>
      <w:r w:rsidDel="00000000" w:rsidR="00000000" w:rsidRPr="00000000">
        <w:rPr>
          <w:rtl w:val="0"/>
        </w:rPr>
        <w:t xml:space="preserve">5. Factibilidad de seguridad</w:t>
      </w:r>
    </w:p>
    <w:p w:rsidR="00000000" w:rsidDel="00000000" w:rsidP="00000000" w:rsidRDefault="00000000" w:rsidRPr="00000000" w14:paraId="0000001D">
      <w:pPr>
        <w:spacing w:after="160" w:line="276" w:lineRule="auto"/>
        <w:rPr/>
      </w:pPr>
      <w:r w:rsidDel="00000000" w:rsidR="00000000" w:rsidRPr="00000000">
        <w:rPr>
          <w:rtl w:val="0"/>
        </w:rPr>
        <w:t>El cumplimiento de los requisitos de seguridad (RNF-01, RNF-06 y RNF-07) es técnicamente factible dentro del plazo del proyecto mediante prácticas estándar: autenticación con JWT, hash seguro de contraseñas, comunicación mediante HTTPS/TLS, validación de entradas, control de acceso por roles y pruebas de seguridad automatizadas (OWASP ZAP, Nessus) antes de la entrega final.</w:t>
      </w:r>
    </w:p>
    <w:p w:rsidR="00000000" w:rsidDel="00000000" w:rsidP="00000000" w:rsidRDefault="00000000" w:rsidRPr="00000000" w14:paraId="0000001E">
      <w:pPr>
        <w:pStyle w:val="Heading1"/>
        <w:spacing w:after="200" w:before="400" w:lineRule="auto"/>
        <w:rPr/>
      </w:pPr>
      <w:r w:rsidDel="00000000" w:rsidR="00000000" w:rsidRPr="00000000">
        <w:rPr>
          <w:rtl w:val="0"/>
        </w:rPr>
        <w:t xml:space="preserve">6. Factibilidad respecto al equipo y al tiempo disponible</w:t>
      </w:r>
    </w:p>
    <w:p w:rsidR="00000000" w:rsidDel="00000000" w:rsidP="00000000" w:rsidRDefault="00000000" w:rsidRPr="00000000" w14:paraId="0000001F">
      <w:pPr>
        <w:spacing w:after="160" w:line="276" w:lineRule="auto"/>
        <w:rPr/>
      </w:pPr>
      <w:r w:rsidDel="00000000" w:rsidR="00000000" w:rsidRPr="00000000">
        <w:rPr>
          <w:rtl w:val="0"/>
        </w:rPr>
        <w:t xml:space="preserve">Considerando las debilidades del equipo en metodologías ágiles, levantamiento de requerimientos y planificación, estas competencias deberán reforzarse durante análisis y diseño para mantener el alcance dentro de la dedicación prevista de 8 a 12 horas semanales por integrante.</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200" w:before="400" w:lineRule="auto"/>
        <w:rPr/>
      </w:pPr>
      <w:r w:rsidDel="00000000" w:rsidR="00000000" w:rsidRPr="00000000">
        <w:rPr>
          <w:rtl w:val="0"/>
        </w:rPr>
        <w:t xml:space="preserve">7. Alternativas tecnológicas evaluadas</w:t>
      </w:r>
    </w:p>
    <w:p w:rsidR="00000000" w:rsidDel="00000000" w:rsidP="00000000" w:rsidRDefault="00000000" w:rsidRPr="00000000" w14:paraId="00000022">
      <w:pPr>
        <w:pStyle w:val="Heading2"/>
        <w:spacing w:after="150" w:before="300" w:lineRule="auto"/>
        <w:rPr/>
      </w:pPr>
      <w:r w:rsidDel="00000000" w:rsidR="00000000" w:rsidRPr="00000000">
        <w:rPr>
          <w:rtl w:val="0"/>
        </w:rPr>
        <w:t xml:space="preserve">7.1 Framework de desarrollo móvil</w:t>
      </w:r>
    </w:p>
    <w:tbl>
      <w:tblPr>
        <w:tblStyle w:val="Table1"/>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2800"/>
        <w:gridCol w:w="1200"/>
        <w:tblGridChange w:id="0">
          <w:tblGrid>
            <w:gridCol w:w="2000"/>
            <w:gridCol w:w="2800"/>
            <w:gridCol w:w="2800"/>
            <w:gridCol w:w="12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23">
            <w:pPr>
              <w:rPr/>
            </w:pPr>
            <w:r w:rsidDel="00000000" w:rsidR="00000000" w:rsidRPr="00000000">
              <w:rPr>
                <w:b w:val="1"/>
                <w:bCs w:val="1"/>
                <w:sz w:val="19"/>
                <w:szCs w:val="19"/>
                <w:rtl w:val="0"/>
              </w:rPr>
              <w:t xml:space="preserve">Alternativa</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24">
            <w:pPr>
              <w:rPr/>
            </w:pPr>
            <w:r w:rsidDel="00000000" w:rsidR="00000000" w:rsidRPr="00000000">
              <w:rPr>
                <w:b w:val="1"/>
                <w:bCs w:val="1"/>
                <w:sz w:val="19"/>
                <w:szCs w:val="19"/>
                <w:rtl w:val="0"/>
              </w:rPr>
              <w:t xml:space="preserve">Ventajas</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25">
            <w:pPr>
              <w:rPr/>
            </w:pPr>
            <w:r w:rsidDel="00000000" w:rsidR="00000000" w:rsidRPr="00000000">
              <w:rPr>
                <w:b w:val="1"/>
                <w:bCs w:val="1"/>
                <w:sz w:val="19"/>
                <w:szCs w:val="19"/>
                <w:rtl w:val="0"/>
              </w:rPr>
              <w:t xml:space="preserve">Desventajas</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26">
            <w:pPr>
              <w:rPr/>
            </w:pPr>
            <w:r w:rsidDel="00000000" w:rsidR="00000000" w:rsidRPr="00000000">
              <w:rPr>
                <w:b w:val="1"/>
                <w:bCs w:val="1"/>
                <w:sz w:val="19"/>
                <w:szCs w:val="19"/>
                <w:rtl w:val="0"/>
              </w:rPr>
              <w:t xml:space="preserve">Factibilidad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7">
            <w:pPr>
              <w:rPr/>
            </w:pPr>
            <w:r w:rsidDel="00000000" w:rsidR="00000000" w:rsidRPr="00000000">
              <w:rPr>
                <w:rtl w:val="0"/>
              </w:rPr>
              <w:t xml:space="preserve">.NET MAUI (.NET 8)</w:t>
            </w:r>
          </w:p>
        </w:tc>
        <w:tc>
          <w:tcPr>
            <w:tcMar>
              <w:top w:w="80.0" w:type="dxa"/>
              <w:left w:w="100.0" w:type="dxa"/>
              <w:bottom w:w="80.0" w:type="dxa"/>
              <w:right w:w="100.0" w:type="dxa"/>
            </w:tcMar>
            <w:vAlign w:val="center"/>
          </w:tcPr>
          <w:p w:rsidR="00000000" w:rsidDel="00000000" w:rsidP="00000000" w:rsidRDefault="00000000" w:rsidRPr="00000000" w14:paraId="00000028">
            <w:pPr>
              <w:rPr/>
            </w:pPr>
            <w:r w:rsidDel="00000000" w:rsidR="00000000" w:rsidRPr="00000000">
              <w:rPr>
                <w:rtl w:val="0"/>
              </w:rPr>
              <w:t xml:space="preserve">Una sola base de código para Android/iOS; integración directa con ASP.NET Core y el ecosistema .NET; soporte para cámara/QR y SQLite.</w:t>
            </w:r>
          </w:p>
        </w:tc>
        <w:tc>
          <w:tcPr>
            <w:tcMar>
              <w:top w:w="80.0" w:type="dxa"/>
              <w:left w:w="100.0" w:type="dxa"/>
              <w:bottom w:w="80.0" w:type="dxa"/>
              <w:right w:w="100.0" w:type="dxa"/>
            </w:tcMar>
            <w:vAlign w:val="center"/>
          </w:tcPr>
          <w:p w:rsidR="00000000" w:rsidDel="00000000" w:rsidP="00000000" w:rsidRDefault="00000000" w:rsidRPr="00000000" w14:paraId="00000029">
            <w:pPr>
              <w:rPr/>
            </w:pPr>
            <w:r w:rsidDel="00000000" w:rsidR="00000000" w:rsidRPr="00000000">
              <w:rPr>
                <w:rtl w:val="0"/>
              </w:rPr>
              <w:t xml:space="preserve">Requiere familiaridad con C# y particularidades de MAUI en cada plataforma.</w:t>
            </w:r>
          </w:p>
        </w:tc>
        <w:tc>
          <w:tcPr>
            <w:tcMar>
              <w:top w:w="80.0" w:type="dxa"/>
              <w:left w:w="100.0" w:type="dxa"/>
              <w:bottom w:w="80.0" w:type="dxa"/>
              <w:right w:w="100.0" w:type="dxa"/>
            </w:tcMar>
            <w:vAlign w:val="center"/>
          </w:tcPr>
          <w:p w:rsidR="00000000" w:rsidDel="00000000" w:rsidP="00000000" w:rsidRDefault="00000000" w:rsidRPr="00000000" w14:paraId="0000002A">
            <w:pPr>
              <w:rPr/>
            </w:pPr>
            <w:r w:rsidDel="00000000" w:rsidR="00000000" w:rsidRPr="00000000">
              <w:rPr>
                <w:rtl w:val="0"/>
              </w:rPr>
              <w:t xml:space="preserve">Alta — seleccionada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B">
            <w:pPr>
              <w:rPr/>
            </w:pPr>
            <w:r w:rsidDel="00000000" w:rsidR="00000000" w:rsidRPr="00000000">
              <w:rPr>
                <w:rtl w:val="0"/>
              </w:rPr>
              <w:t xml:space="preserve">Flutter</w:t>
            </w:r>
          </w:p>
        </w:tc>
        <w:tc>
          <w:tcPr>
            <w:tcMar>
              <w:top w:w="80.0" w:type="dxa"/>
              <w:left w:w="100.0" w:type="dxa"/>
              <w:bottom w:w="80.0" w:type="dxa"/>
              <w:right w:w="100.0" w:type="dxa"/>
            </w:tcMar>
            <w:vAlign w:val="center"/>
          </w:tcPr>
          <w:p w:rsidR="00000000" w:rsidDel="00000000" w:rsidP="00000000" w:rsidRDefault="00000000" w:rsidRPr="00000000" w14:paraId="0000002C">
            <w:pPr>
              <w:rPr/>
            </w:pPr>
            <w:r w:rsidDel="00000000" w:rsidR="00000000" w:rsidRPr="00000000">
              <w:rPr>
                <w:rtl w:val="0"/>
              </w:rPr>
              <w:t xml:space="preserve">Una sola base de código para Android/iOS; buen rendimiento y amplio ecosistema.</w:t>
            </w:r>
          </w:p>
        </w:tc>
        <w:tc>
          <w:tcPr>
            <w:tcMar>
              <w:top w:w="80.0" w:type="dxa"/>
              <w:left w:w="100.0" w:type="dxa"/>
              <w:bottom w:w="80.0" w:type="dxa"/>
              <w:right w:w="100.0" w:type="dxa"/>
            </w:tcMar>
            <w:vAlign w:val="center"/>
          </w:tcPr>
          <w:p w:rsidR="00000000" w:rsidDel="00000000" w:rsidP="00000000" w:rsidRDefault="00000000" w:rsidRPr="00000000" w14:paraId="0000002D">
            <w:pPr>
              <w:rPr/>
            </w:pPr>
            <w:r w:rsidDel="00000000" w:rsidR="00000000" w:rsidRPr="00000000">
              <w:rPr>
                <w:rtl w:val="0"/>
              </w:rPr>
              <w:t xml:space="preserve">Introduce Dart y un ecosistema diferente al backend .NET seleccionado.</w:t>
            </w:r>
          </w:p>
        </w:tc>
        <w:tc>
          <w:tcPr>
            <w:tcMar>
              <w:top w:w="80.0" w:type="dxa"/>
              <w:left w:w="100.0" w:type="dxa"/>
              <w:bottom w:w="80.0" w:type="dxa"/>
              <w:right w:w="100.0" w:type="dxa"/>
            </w:tcMar>
            <w:vAlign w:val="center"/>
          </w:tcPr>
          <w:p w:rsidR="00000000" w:rsidDel="00000000" w:rsidP="00000000" w:rsidRDefault="00000000" w:rsidRPr="00000000" w14:paraId="0000002E">
            <w:pPr>
              <w:rPr/>
            </w:pPr>
            <w:r w:rsidDel="00000000" w:rsidR="00000000" w:rsidRPr="00000000">
              <w:rPr>
                <w:rtl w:val="0"/>
              </w:rPr>
              <w:t xml:space="preserve">Alta — alternativa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F">
            <w:pPr>
              <w:rPr/>
            </w:pPr>
            <w:r w:rsidDel="00000000" w:rsidR="00000000" w:rsidRPr="00000000">
              <w:rPr>
                <w:rtl w:val="0"/>
              </w:rPr>
              <w:t xml:space="preserve">React Native</w:t>
            </w:r>
          </w:p>
        </w:tc>
        <w:tc>
          <w:tcPr>
            <w:tcMar>
              <w:top w:w="80.0" w:type="dxa"/>
              <w:left w:w="100.0" w:type="dxa"/>
              <w:bottom w:w="80.0" w:type="dxa"/>
              <w:right w:w="100.0" w:type="dxa"/>
            </w:tcMar>
            <w:vAlign w:val="center"/>
          </w:tcPr>
          <w:p w:rsidR="00000000" w:rsidDel="00000000" w:rsidP="00000000" w:rsidRDefault="00000000" w:rsidRPr="00000000" w14:paraId="00000030">
            <w:pPr>
              <w:rPr/>
            </w:pPr>
            <w:r w:rsidDel="00000000" w:rsidR="00000000" w:rsidRPr="00000000">
              <w:rPr>
                <w:rtl w:val="0"/>
              </w:rPr>
              <w:t xml:space="preserve">Una sola base de código y amplio ecosistema JavaScript.</w:t>
            </w:r>
          </w:p>
        </w:tc>
        <w:tc>
          <w:tcPr>
            <w:tcMar>
              <w:top w:w="80.0" w:type="dxa"/>
              <w:left w:w="100.0" w:type="dxa"/>
              <w:bottom w:w="80.0" w:type="dxa"/>
              <w:right w:w="100.0" w:type="dxa"/>
            </w:tcMar>
            <w:vAlign w:val="center"/>
          </w:tcPr>
          <w:p w:rsidR="00000000" w:rsidDel="00000000" w:rsidP="00000000" w:rsidRDefault="00000000" w:rsidRPr="00000000" w14:paraId="00000031">
            <w:pPr>
              <w:rPr/>
            </w:pPr>
            <w:r w:rsidDel="00000000" w:rsidR="00000000" w:rsidRPr="00000000">
              <w:rPr>
                <w:rtl w:val="0"/>
              </w:rPr>
              <w:t xml:space="preserve">Introduce un stack adicional y menor coherencia tecnológica con el backend .NET.</w:t>
            </w:r>
          </w:p>
        </w:tc>
        <w:tc>
          <w:tcPr>
            <w:tcMar>
              <w:top w:w="80.0" w:type="dxa"/>
              <w:left w:w="100.0" w:type="dxa"/>
              <w:bottom w:w="80.0" w:type="dxa"/>
              <w:right w:w="100.0" w:type="dxa"/>
            </w:tcMar>
            <w:vAlign w:val="center"/>
          </w:tcPr>
          <w:p w:rsidR="00000000" w:rsidDel="00000000" w:rsidP="00000000" w:rsidRDefault="00000000" w:rsidRPr="00000000" w14:paraId="00000032">
            <w:pPr>
              <w:rPr/>
            </w:pPr>
            <w:r w:rsidDel="00000000" w:rsidR="00000000" w:rsidRPr="00000000">
              <w:rPr>
                <w:rtl w:val="0"/>
              </w:rPr>
              <w:t xml:space="preserve">Alta — alternativa</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Desarrollo nativo (Kotlin/Swift)</w:t>
            </w:r>
          </w:p>
        </w:tc>
        <w:tc>
          <w:tcPr/>
          <w:p w:rsidR="00000000" w:rsidDel="00000000" w:rsidP="00000000" w:rsidRDefault="00000000" w:rsidRPr="00000000" w14:paraId="00000034">
            <w:pPr>
              <w:rPr/>
            </w:pPr>
            <w:r w:rsidDel="00000000" w:rsidR="00000000" w:rsidRPr="00000000">
              <w:rPr>
                <w:rtl w:val="0"/>
              </w:rPr>
              <w:t xml:space="preserve">Máximo acceso a APIs nativas y rendimiento.</w:t>
            </w:r>
          </w:p>
        </w:tc>
        <w:tc>
          <w:tcPr/>
          <w:p w:rsidR="00000000" w:rsidDel="00000000" w:rsidP="00000000" w:rsidRDefault="00000000" w:rsidRPr="00000000" w14:paraId="00000035">
            <w:pPr>
              <w:rPr/>
            </w:pPr>
            <w:r w:rsidDel="00000000" w:rsidR="00000000" w:rsidRPr="00000000">
              <w:rPr>
                <w:rtl w:val="0"/>
              </w:rPr>
              <w:t xml:space="preserve">Requiere dos bases de código; mayor esfuerzo para el plazo académico.</w:t>
            </w:r>
          </w:p>
        </w:tc>
        <w:tc>
          <w:tcPr/>
          <w:p w:rsidR="00000000" w:rsidDel="00000000" w:rsidP="00000000" w:rsidRDefault="00000000" w:rsidRPr="00000000" w14:paraId="00000036">
            <w:pPr>
              <w:rPr/>
            </w:pPr>
            <w:r w:rsidDel="00000000" w:rsidR="00000000" w:rsidRPr="00000000">
              <w:rPr>
                <w:rtl w:val="0"/>
              </w:rPr>
              <w:t xml:space="preserve">Baja</w:t>
            </w:r>
          </w:p>
        </w:tc>
      </w:tr>
    </w:tbl>
    <w:p w:rsidR="00000000" w:rsidDel="00000000" w:rsidP="00000000" w:rsidRDefault="00000000" w:rsidRPr="00000000" w14:paraId="00000037">
      <w:pPr>
        <w:spacing w:after="160" w:line="276" w:lineRule="auto"/>
        <w:rPr/>
      </w:pPr>
      <w:r w:rsidDel="00000000" w:rsidR="00000000" w:rsidRPr="00000000">
        <w:rPr>
          <w:rtl w:val="0"/>
        </w:rPr>
        <w:t xml:space="preserve">Tecnología seleccionada: .NET MAUI (.NET 8), por su capacidad multiplataforma Android/iOS, integración con el ecosistema .NET definido para el backend y compatibilidad con librerías de cámara, lectura QR y almacenamiento SQLite requeridas por AFRISAN.</w:t>
      </w:r>
    </w:p>
    <w:p w:rsidR="00000000" w:rsidDel="00000000" w:rsidP="00000000" w:rsidRDefault="00000000" w:rsidRPr="00000000" w14:paraId="00000038">
      <w:pPr>
        <w:pStyle w:val="Heading2"/>
        <w:spacing w:after="150" w:before="300" w:lineRule="auto"/>
        <w:rPr/>
      </w:pPr>
      <w:r w:rsidDel="00000000" w:rsidR="00000000" w:rsidRPr="00000000">
        <w:rPr>
          <w:rtl w:val="0"/>
        </w:rPr>
        <w:t xml:space="preserve">7.2 Proveedor de infraestructura cloud</w:t>
      </w:r>
    </w:p>
    <w:tbl>
      <w:tblPr>
        <w:tblStyle w:val="Table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2800"/>
        <w:gridCol w:w="1200"/>
        <w:tblGridChange w:id="0">
          <w:tblGrid>
            <w:gridCol w:w="2000"/>
            <w:gridCol w:w="2800"/>
            <w:gridCol w:w="2800"/>
            <w:gridCol w:w="12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39">
            <w:pPr>
              <w:rPr/>
            </w:pPr>
            <w:r w:rsidDel="00000000" w:rsidR="00000000" w:rsidRPr="00000000">
              <w:rPr>
                <w:b w:val="1"/>
                <w:bCs w:val="1"/>
                <w:sz w:val="19"/>
                <w:szCs w:val="19"/>
                <w:rtl w:val="0"/>
              </w:rPr>
              <w:t xml:space="preserve">Alternativa</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3A">
            <w:pPr>
              <w:rPr/>
            </w:pPr>
            <w:r w:rsidDel="00000000" w:rsidR="00000000" w:rsidRPr="00000000">
              <w:rPr>
                <w:b w:val="1"/>
                <w:bCs w:val="1"/>
                <w:sz w:val="19"/>
                <w:szCs w:val="19"/>
                <w:rtl w:val="0"/>
              </w:rPr>
              <w:t xml:space="preserve">Ventajas</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3B">
            <w:pPr>
              <w:rPr/>
            </w:pPr>
            <w:r w:rsidDel="00000000" w:rsidR="00000000" w:rsidRPr="00000000">
              <w:rPr>
                <w:b w:val="1"/>
                <w:bCs w:val="1"/>
                <w:sz w:val="19"/>
                <w:szCs w:val="19"/>
                <w:rtl w:val="0"/>
              </w:rPr>
              <w:t xml:space="preserve">Desventajas</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3C">
            <w:pPr>
              <w:rPr/>
            </w:pPr>
            <w:r w:rsidDel="00000000" w:rsidR="00000000" w:rsidRPr="00000000">
              <w:rPr>
                <w:b w:val="1"/>
                <w:bCs w:val="1"/>
                <w:sz w:val="19"/>
                <w:szCs w:val="19"/>
                <w:rtl w:val="0"/>
              </w:rPr>
              <w:t xml:space="preserve">Factibilidad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D">
            <w:pPr>
              <w:rPr/>
            </w:pPr>
            <w:r w:rsidDel="00000000" w:rsidR="00000000" w:rsidRPr="00000000">
              <w:rPr>
                <w:rtl w:val="0"/>
              </w:rPr>
              <w:t xml:space="preserve">Microsoft Azure App Service</w:t>
            </w:r>
          </w:p>
        </w:tc>
        <w:tc>
          <w:tcPr>
            <w:tcMar>
              <w:top w:w="80.0" w:type="dxa"/>
              <w:left w:w="100.0" w:type="dxa"/>
              <w:bottom w:w="80.0" w:type="dxa"/>
              <w:right w:w="100.0" w:type="dxa"/>
            </w:tcMar>
            <w:vAlign w:val="center"/>
          </w:tcPr>
          <w:p w:rsidR="00000000" w:rsidDel="00000000" w:rsidP="00000000" w:rsidRDefault="00000000" w:rsidRPr="00000000" w14:paraId="0000003E">
            <w:pPr>
              <w:rPr/>
            </w:pPr>
            <w:r w:rsidDel="00000000" w:rsidR="00000000" w:rsidRPr="00000000">
              <w:rPr>
                <w:rtl w:val="0"/>
              </w:rPr>
              <w:t xml:space="preserve">Integración natural con .NET y Power BI; despliegue administrado del backend ASP.NET Core.</w:t>
            </w:r>
          </w:p>
        </w:tc>
        <w:tc>
          <w:tcPr>
            <w:tcMar>
              <w:top w:w="80.0" w:type="dxa"/>
              <w:left w:w="100.0" w:type="dxa"/>
              <w:bottom w:w="80.0" w:type="dxa"/>
              <w:right w:w="100.0" w:type="dxa"/>
            </w:tcMar>
            <w:vAlign w:val="center"/>
          </w:tcPr>
          <w:p w:rsidR="00000000" w:rsidDel="00000000" w:rsidP="00000000" w:rsidRDefault="00000000" w:rsidRPr="00000000" w14:paraId="0000003F">
            <w:pPr>
              <w:rPr/>
            </w:pPr>
            <w:r w:rsidDel="00000000" w:rsidR="00000000" w:rsidRPr="00000000">
              <w:rPr>
                <w:rtl w:val="0"/>
              </w:rPr>
              <w:t xml:space="preserve">Requiere configuración inicial del servicio y conocimiento básico del portal Azure.</w:t>
            </w:r>
          </w:p>
        </w:tc>
        <w:tc>
          <w:tcPr>
            <w:tcMar>
              <w:top w:w="80.0" w:type="dxa"/>
              <w:left w:w="100.0" w:type="dxa"/>
              <w:bottom w:w="80.0" w:type="dxa"/>
              <w:right w:w="100.0" w:type="dxa"/>
            </w:tcMar>
            <w:vAlign w:val="center"/>
          </w:tcPr>
          <w:p w:rsidR="00000000" w:rsidDel="00000000" w:rsidP="00000000" w:rsidRDefault="00000000" w:rsidRPr="00000000" w14:paraId="00000040">
            <w:pPr>
              <w:rPr/>
            </w:pPr>
            <w:r w:rsidDel="00000000" w:rsidR="00000000" w:rsidRPr="00000000">
              <w:rPr>
                <w:rtl w:val="0"/>
              </w:rPr>
              <w:t xml:space="preserve">Alta — seleccionado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1">
            <w:pPr>
              <w:rPr/>
            </w:pPr>
            <w:r w:rsidDel="00000000" w:rsidR="00000000" w:rsidRPr="00000000">
              <w:rPr>
                <w:rtl w:val="0"/>
              </w:rPr>
              <w:t xml:space="preserve">AWS</w:t>
            </w:r>
          </w:p>
        </w:tc>
        <w:tc>
          <w:tcPr>
            <w:tcMar>
              <w:top w:w="80.0" w:type="dxa"/>
              <w:left w:w="100.0" w:type="dxa"/>
              <w:bottom w:w="80.0" w:type="dxa"/>
              <w:right w:w="100.0" w:type="dxa"/>
            </w:tcMar>
            <w:vAlign w:val="center"/>
          </w:tcPr>
          <w:p w:rsidR="00000000" w:rsidDel="00000000" w:rsidP="00000000" w:rsidRDefault="00000000" w:rsidRPr="00000000" w14:paraId="00000042">
            <w:pPr>
              <w:rPr/>
            </w:pPr>
            <w:r w:rsidDel="00000000" w:rsidR="00000000" w:rsidRPr="00000000">
              <w:rPr>
                <w:rtl w:val="0"/>
              </w:rPr>
              <w:t xml:space="preserve">Amplia documentación, comunidad y servicios equivalentes.</w:t>
            </w:r>
          </w:p>
        </w:tc>
        <w:tc>
          <w:tcPr>
            <w:tcMar>
              <w:top w:w="80.0" w:type="dxa"/>
              <w:left w:w="100.0" w:type="dxa"/>
              <w:bottom w:w="80.0" w:type="dxa"/>
              <w:right w:w="100.0" w:type="dxa"/>
            </w:tcMar>
            <w:vAlign w:val="center"/>
          </w:tcPr>
          <w:p w:rsidR="00000000" w:rsidDel="00000000" w:rsidP="00000000" w:rsidRDefault="00000000" w:rsidRPr="00000000" w14:paraId="00000043">
            <w:pPr>
              <w:rPr/>
            </w:pPr>
            <w:r w:rsidDel="00000000" w:rsidR="00000000" w:rsidRPr="00000000">
              <w:rPr>
                <w:rtl w:val="0"/>
              </w:rPr>
              <w:t xml:space="preserve">Añade complejidad y un ecosistema distinto al seleccionado.</w:t>
            </w:r>
          </w:p>
        </w:tc>
        <w:tc>
          <w:tcPr>
            <w:tcMar>
              <w:top w:w="80.0" w:type="dxa"/>
              <w:left w:w="100.0" w:type="dxa"/>
              <w:bottom w:w="80.0" w:type="dxa"/>
              <w:right w:w="100.0" w:type="dxa"/>
            </w:tcMar>
            <w:vAlign w:val="center"/>
          </w:tcPr>
          <w:p w:rsidR="00000000" w:rsidDel="00000000" w:rsidP="00000000" w:rsidRDefault="00000000" w:rsidRPr="00000000" w14:paraId="00000044">
            <w:pPr>
              <w:rPr/>
            </w:pPr>
            <w:r w:rsidDel="00000000" w:rsidR="00000000" w:rsidRPr="00000000">
              <w:rPr>
                <w:rtl w:val="0"/>
              </w:rPr>
              <w:t xml:space="preserve">Media — alternativa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5">
            <w:pPr>
              <w:rPr/>
            </w:pPr>
            <w:r w:rsidDel="00000000" w:rsidR="00000000" w:rsidRPr="00000000">
              <w:rPr>
                <w:rtl w:val="0"/>
              </w:rPr>
              <w:t xml:space="preserve">Vercel</w:t>
            </w:r>
          </w:p>
        </w:tc>
        <w:tc>
          <w:tcPr>
            <w:tcMar>
              <w:top w:w="80.0" w:type="dxa"/>
              <w:left w:w="100.0" w:type="dxa"/>
              <w:bottom w:w="80.0" w:type="dxa"/>
              <w:right w:w="100.0" w:type="dxa"/>
            </w:tcMar>
            <w:vAlign w:val="center"/>
          </w:tcPr>
          <w:p w:rsidR="00000000" w:rsidDel="00000000" w:rsidP="00000000" w:rsidRDefault="00000000" w:rsidRPr="00000000" w14:paraId="00000046">
            <w:pPr>
              <w:rPr/>
            </w:pPr>
            <w:r w:rsidDel="00000000" w:rsidR="00000000" w:rsidRPr="00000000">
              <w:rPr>
                <w:rtl w:val="0"/>
              </w:rPr>
              <w:t xml:space="preserve">Despliegue sencillo para frontends y aplicaciones web.</w:t>
            </w:r>
          </w:p>
        </w:tc>
        <w:tc>
          <w:tcPr>
            <w:tcMar>
              <w:top w:w="80.0" w:type="dxa"/>
              <w:left w:w="100.0" w:type="dxa"/>
              <w:bottom w:w="80.0" w:type="dxa"/>
              <w:right w:w="100.0" w:type="dxa"/>
            </w:tcMar>
            <w:vAlign w:val="center"/>
          </w:tcPr>
          <w:p w:rsidR="00000000" w:rsidDel="00000000" w:rsidP="00000000" w:rsidRDefault="00000000" w:rsidRPr="00000000" w14:paraId="00000047">
            <w:pPr>
              <w:rPr/>
            </w:pPr>
            <w:r w:rsidDel="00000000" w:rsidR="00000000" w:rsidRPr="00000000">
              <w:rPr>
                <w:rtl w:val="0"/>
              </w:rPr>
              <w:t xml:space="preserve">Menos alineado con el despliegue de ASP.NET Core definido para este proyecto.</w:t>
            </w:r>
          </w:p>
        </w:tc>
        <w:tc>
          <w:tcPr>
            <w:tcMar>
              <w:top w:w="80.0" w:type="dxa"/>
              <w:left w:w="100.0" w:type="dxa"/>
              <w:bottom w:w="80.0" w:type="dxa"/>
              <w:right w:w="100.0" w:type="dxa"/>
            </w:tcMar>
            <w:vAlign w:val="center"/>
          </w:tcPr>
          <w:p w:rsidR="00000000" w:rsidDel="00000000" w:rsidP="00000000" w:rsidRDefault="00000000" w:rsidRPr="00000000" w14:paraId="00000048">
            <w:pPr>
              <w:rPr/>
            </w:pPr>
            <w:r w:rsidDel="00000000" w:rsidR="00000000" w:rsidRPr="00000000">
              <w:rPr>
                <w:rtl w:val="0"/>
              </w:rPr>
              <w:t xml:space="preserve">Media — alternativa</w:t>
            </w:r>
          </w:p>
        </w:tc>
      </w:tr>
    </w:tbl>
    <w:p w:rsidR="00000000" w:rsidDel="00000000" w:rsidP="00000000" w:rsidRDefault="00000000" w:rsidRPr="00000000" w14:paraId="00000049">
      <w:pPr>
        <w:spacing w:after="160" w:line="276" w:lineRule="auto"/>
        <w:rPr/>
      </w:pPr>
      <w:r w:rsidDel="00000000" w:rsidR="00000000" w:rsidRPr="00000000">
        <w:rPr>
          <w:rtl w:val="0"/>
        </w:rPr>
        <w:t xml:space="preserve">Proveedor seleccionado: Microsoft Azure App Service para el despliegue del backend ASP.NET Core Web API. La base de datos PostgreSQL 16 se aloja en Supabase Cloud y Power BI se utiliza para la reportería y visualización de indicadores.</w:t>
      </w:r>
    </w:p>
    <w:p w:rsidR="00000000" w:rsidDel="00000000" w:rsidP="00000000" w:rsidRDefault="00000000" w:rsidRPr="00000000" w14:paraId="0000004A">
      <w:pPr>
        <w:pStyle w:val="Heading1"/>
        <w:spacing w:after="200" w:before="400" w:lineRule="auto"/>
        <w:rPr/>
      </w:pPr>
      <w:r w:rsidDel="00000000" w:rsidR="00000000" w:rsidRPr="00000000">
        <w:rPr>
          <w:rtl w:val="0"/>
        </w:rPr>
        <w:t xml:space="preserve">8. Matriz resumen de factibilidad</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4B">
            <w:pPr>
              <w:rPr/>
            </w:pPr>
            <w:r w:rsidDel="00000000" w:rsidR="00000000" w:rsidRPr="00000000">
              <w:rPr>
                <w:b w:val="1"/>
                <w:bCs w:val="1"/>
                <w:sz w:val="19"/>
                <w:szCs w:val="19"/>
                <w:rtl w:val="0"/>
              </w:rPr>
              <w:t xml:space="preserve">Dimensión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4C">
            <w:pPr>
              <w:rPr/>
            </w:pPr>
            <w:r w:rsidDel="00000000" w:rsidR="00000000" w:rsidRPr="00000000">
              <w:rPr>
                <w:b w:val="1"/>
                <w:bCs w:val="1"/>
                <w:sz w:val="19"/>
                <w:szCs w:val="19"/>
                <w:rtl w:val="0"/>
              </w:rPr>
              <w:t xml:space="preserve">Evaluación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D">
            <w:pPr>
              <w:rPr/>
            </w:pPr>
            <w:r w:rsidDel="00000000" w:rsidR="00000000" w:rsidRPr="00000000">
              <w:rPr>
                <w:b w:val="0"/>
                <w:bCs w:val="0"/>
                <w:sz w:val="19"/>
                <w:szCs w:val="19"/>
                <w:rtl w:val="0"/>
              </w:rPr>
              <w:t xml:space="preserve">Tecnológica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E">
            <w:pPr>
              <w:rPr/>
            </w:pPr>
            <w:r w:rsidDel="00000000" w:rsidR="00000000" w:rsidRPr="00000000">
              <w:rPr>
                <w:b w:val="0"/>
                <w:bCs w:val="0"/>
                <w:sz w:val="19"/>
                <w:szCs w:val="19"/>
                <w:rtl w:val="0"/>
              </w:rPr>
              <w:t xml:space="preserve">Factible — tecnologías maduras, documentadas y de bajo costo de adopción.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F">
            <w:pPr>
              <w:rPr/>
            </w:pPr>
            <w:r w:rsidDel="00000000" w:rsidR="00000000" w:rsidRPr="00000000">
              <w:rPr>
                <w:b w:val="0"/>
                <w:bCs w:val="0"/>
                <w:sz w:val="19"/>
                <w:szCs w:val="19"/>
                <w:rtl w:val="0"/>
              </w:rPr>
              <w:t xml:space="preserve">Infraestructura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0">
            <w:pPr>
              <w:rPr/>
            </w:pPr>
            <w:r w:rsidDel="00000000" w:rsidR="00000000" w:rsidRPr="00000000">
              <w:rPr>
                <w:b w:val="0"/>
                <w:bCs w:val="0"/>
                <w:sz w:val="19"/>
                <w:szCs w:val="19"/>
                <w:rtl w:val="0"/>
              </w:rPr>
              <w:t xml:space="preserve">Factible — no requiere infraestructura física adicional relevante.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1">
            <w:pPr>
              <w:rPr/>
            </w:pPr>
            <w:r w:rsidDel="00000000" w:rsidR="00000000" w:rsidRPr="00000000">
              <w:rPr>
                <w:b w:val="0"/>
                <w:bCs w:val="0"/>
                <w:sz w:val="19"/>
                <w:szCs w:val="19"/>
                <w:rtl w:val="0"/>
              </w:rPr>
              <w:t xml:space="preserve">Integración / offline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2">
            <w:pPr>
              <w:rPr/>
            </w:pPr>
            <w:r w:rsidDel="00000000" w:rsidR="00000000" w:rsidRPr="00000000">
              <w:rPr>
                <w:b w:val="0"/>
                <w:bCs w:val="0"/>
                <w:sz w:val="19"/>
                <w:szCs w:val="19"/>
                <w:rtl w:val="0"/>
              </w:rPr>
              <w:t>Factible con atención — requiere definir adecuadamente las reglas de sincronización y resolución de conflictos.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3">
            <w:pPr>
              <w:rPr/>
            </w:pPr>
            <w:r w:rsidDel="00000000" w:rsidR="00000000" w:rsidRPr="00000000">
              <w:rPr>
                <w:b w:val="0"/>
                <w:bCs w:val="0"/>
                <w:sz w:val="19"/>
                <w:szCs w:val="19"/>
                <w:rtl w:val="0"/>
              </w:rPr>
              <w:t xml:space="preserve">Seguridad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4">
            <w:pPr>
              <w:rPr/>
            </w:pPr>
            <w:r w:rsidDel="00000000" w:rsidR="00000000" w:rsidRPr="00000000">
              <w:rPr>
                <w:b w:val="0"/>
                <w:bCs w:val="0"/>
                <w:sz w:val="19"/>
                <w:szCs w:val="19"/>
                <w:rtl w:val="0"/>
              </w:rPr>
              <w:t xml:space="preserve">Factible — alcanzable con prácticas estándar y herramientas ya definidas en el alcance.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5">
            <w:pPr>
              <w:rPr/>
            </w:pPr>
            <w:r w:rsidDel="00000000" w:rsidR="00000000" w:rsidRPr="00000000">
              <w:rPr>
                <w:b w:val="0"/>
                <w:bCs w:val="0"/>
                <w:sz w:val="19"/>
                <w:szCs w:val="19"/>
                <w:rtl w:val="0"/>
              </w:rPr>
              <w:t xml:space="preserve">Equipo y tiempo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6">
            <w:pPr>
              <w:rPr/>
            </w:pPr>
            <w:r w:rsidDel="00000000" w:rsidR="00000000" w:rsidRPr="00000000">
              <w:rPr>
                <w:b w:val="0"/>
                <w:bCs w:val="0"/>
                <w:sz w:val="19"/>
                <w:szCs w:val="19"/>
                <w:rtl w:val="0"/>
              </w:rPr>
              <w:t xml:space="preserve">Factible con reservas — depende de reforzar metodologías ágiles y planificación temprano en el proyecto.</w:t>
            </w:r>
            <w:r w:rsidDel="00000000" w:rsidR="00000000" w:rsidRPr="00000000">
              <w:rPr>
                <w:rtl w:val="0"/>
              </w:rPr>
            </w:r>
          </w:p>
        </w:tc>
      </w:tr>
    </w:tbl>
    <w:p w:rsidR="00000000" w:rsidDel="00000000" w:rsidP="00000000" w:rsidRDefault="00000000" w:rsidRPr="00000000" w14:paraId="00000057">
      <w:pPr>
        <w:pStyle w:val="Heading1"/>
        <w:spacing w:after="200" w:before="400" w:lineRule="auto"/>
        <w:rPr/>
      </w:pPr>
      <w:r w:rsidDel="00000000" w:rsidR="00000000" w:rsidRPr="00000000">
        <w:rPr>
          <w:rtl w:val="0"/>
        </w:rPr>
        <w:t xml:space="preserve">9. Conclusión y recomendación</w:t>
      </w:r>
    </w:p>
    <w:p w:rsidR="00000000" w:rsidDel="00000000" w:rsidP="00000000" w:rsidRDefault="00000000" w:rsidRPr="00000000" w14:paraId="00000058">
      <w:pPr>
        <w:spacing w:after="160" w:line="276" w:lineRule="auto"/>
        <w:rPr/>
      </w:pPr>
      <w:r w:rsidDel="00000000" w:rsidR="00000000" w:rsidRPr="00000000">
        <w:rPr>
          <w:rtl w:val="0"/>
        </w:rPr>
        <w:t>En base al análisis anterior, el proyecto se considera técnicamente factible, siempre que se mantenga acotado el alcance definido en el ERS, se prioricen los módulos críticos (registro de intervenciones, cálculo de balance de masa/semáforo GEI y sincronización offline) en las primeras iteraciones, y se dé seguimiento activo a los riesgos de mayor criticidad identificados en el ERS.</w:t>
      </w:r>
    </w:p>
    <w:p w:rsidR="00000000" w:rsidDel="00000000" w:rsidP="00000000" w:rsidRDefault="00000000" w:rsidRPr="00000000" w14:paraId="00000059">
      <w:pPr>
        <w:spacing w:after="160" w:line="276" w:lineRule="auto"/>
        <w:rPr/>
      </w:pPr>
      <w:r w:rsidDel="00000000" w:rsidR="00000000" w:rsidRPr="00000000">
        <w:rPr>
          <w:rtl w:val="0"/>
        </w:rPr>
        <w:t xml:space="preserve">Las principales decisiones tecnológicas se encuentran definidas: .NET MAUI para la aplicación móvil, Blazor WebAssembly para la aplicación web, ASP.NET Core Web API y Entity Framework Core para el backend, PostgreSQL/Supabase para datos y Azure App Service para despliegue. Esto permite avanzar a la fase de desarrollo sin bloqueos por selección de plataforma.</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pPr>
    <w:r w:rsidDel="00000000" w:rsidR="00000000" w:rsidRPr="00000000">
      <w:rPr>
        <w:sz w:val="18"/>
        <w:szCs w:val="18"/>
        <w:rtl w:val="0"/>
      </w:rPr>
      <w:t xml:space="preserve">Página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de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right"/>
      <w:rPr/>
    </w:pPr>
    <w:r w:rsidDel="00000000" w:rsidR="00000000" w:rsidRPr="00000000">
      <w:rPr>
        <w:sz w:val="19"/>
        <w:szCs w:val="19"/>
      </w:rPr>
      <w:drawing>
        <wp:inline distB="114300" distT="114300" distL="114300" distR="114300">
          <wp:extent cx="2314575" cy="58388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14575" cy="58388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right"/>
      <w:rPr>
        <w:color w:val="888888"/>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2e539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1"/>
      <w:iCs w:val="1"/>
      <w:smallCaps w:val="0"/>
      <w:strike w:val="0"/>
      <w:color w:val="2e539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02Nu0ujUDQQuo2vxbKjMztuRBg==">CgMxLjA4AHIhMXhrVnFNM2FleFpKcXlwd3NsaUR6aUItUm9rWUpudU03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2026-08-28T18:52:38.027Z</dcterms:created>
  <dc:creator>Un-named</dc:creator>
  <cp:lastModifiedBy>Equipo AFRISAN</cp:lastModifiedBy>
  <dc:title>Apoyo a la Factibilidad Técnica — AFRISAN</dc:title>
</cp:coreProperties>
</file>

<file path=docProps/custom.xml><?xml version="1.0" encoding="utf-8"?>
<Properties xmlns="http://schemas.openxmlformats.org/officeDocument/2006/custom-properties" xmlns:vt="http://schemas.openxmlformats.org/officeDocument/2006/docPropsVTypes"/>
</file>