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Sede Melipilla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100" w:lineRule="auto"/>
        <w:jc w:val="center"/>
        <w:rPr/>
      </w:pPr>
      <w:bookmarkStart w:colFirst="0" w:colLast="0" w:name="_heading=h.sga0wrr37z1" w:id="0"/>
      <w:bookmarkEnd w:id="0"/>
      <w:r w:rsidDel="00000000" w:rsidR="00000000" w:rsidRPr="00000000">
        <w:rPr>
          <w:rtl w:val="0"/>
        </w:rPr>
        <w:t xml:space="preserve">RECURSOS TÉCNICOS</w:t>
      </w:r>
    </w:p>
    <w:p w:rsidR="00000000" w:rsidDel="00000000" w:rsidP="00000000" w:rsidRDefault="00000000" w:rsidRPr="00000000" w14:paraId="00000006">
      <w:pPr>
        <w:spacing w:after="60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Plan de recursos — Sistema de Gestión de Refrigerantes AFRISAN</w:t>
      </w:r>
    </w:p>
    <w:p w:rsidR="00000000" w:rsidDel="00000000" w:rsidP="00000000" w:rsidRDefault="00000000" w:rsidRPr="00000000" w14:paraId="00000007">
      <w:pPr>
        <w:spacing w:after="60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Responsable de esta entrega: </w:t>
      </w:r>
      <w:r w:rsidDel="00000000" w:rsidR="00000000" w:rsidRPr="00000000">
        <w:rPr>
          <w:sz w:val="22"/>
          <w:szCs w:val="22"/>
          <w:rtl w:val="0"/>
        </w:rPr>
        <w:t xml:space="preserve">Yarek Larraguibel — Arquitectura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Integrantes del proyecto: </w:t>
      </w:r>
      <w:r w:rsidDel="00000000" w:rsidR="00000000" w:rsidRPr="00000000">
        <w:rPr>
          <w:rtl w:val="0"/>
        </w:rPr>
        <w:t xml:space="preserve">Carolina Ávila, Dante Moya, Yarek Larraguibel</w:t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Docente guía: </w:t>
      </w:r>
      <w:r w:rsidDel="00000000" w:rsidR="00000000" w:rsidRPr="00000000">
        <w:rPr>
          <w:rtl w:val="0"/>
        </w:rPr>
        <w:t xml:space="preserve">Carlos Quintanilla</w:t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Documento: </w:t>
      </w:r>
      <w:r w:rsidDel="00000000" w:rsidR="00000000" w:rsidRPr="00000000">
        <w:rPr>
          <w:rtl w:val="0"/>
        </w:rPr>
        <w:t xml:space="preserve">Recursos Técnicos</w:t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 02/09/2026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 </w:t>
      </w:r>
      <w:r w:rsidDel="00000000" w:rsidR="00000000" w:rsidRPr="00000000">
        <w:rPr>
          <w:rtl w:val="0"/>
        </w:rPr>
        <w:t xml:space="preserve">1.0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14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Este documento identifica los recursos técnicos —hardware, software, infraestructura y herramientas de gestión— necesarios para el desarrollo, despliegue y operación del Sistema de Gestión de Refrigerantes AFRISAN, junto con una estimación referencial de costos y la asignación preliminar de responsables por recurso.</w:t>
      </w:r>
    </w:p>
    <w:p w:rsidR="00000000" w:rsidDel="00000000" w:rsidP="00000000" w:rsidRDefault="00000000" w:rsidRPr="00000000" w14:paraId="00000015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2. Hardware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900"/>
        <w:gridCol w:w="2600"/>
        <w:gridCol w:w="2400"/>
        <w:tblGridChange w:id="0">
          <w:tblGrid>
            <w:gridCol w:w="2100"/>
            <w:gridCol w:w="1900"/>
            <w:gridCol w:w="260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Usuarios / rol asociado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Dispositivo móvil (Android/iOS)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Técnico, Jefe de bodega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 cámara, para escaneo QR/código de barras y fotos de respaldo del peso.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 asume que AFRISAN provee o autoriza el uso de dispositivos propios del personal (BYOD) [COMPLETAR].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Estación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Jefe de grupo, Administrador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 navegador web actualizado.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Equipos ya disponibles en las oficinas de AFRISAN.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Impresora de etiquetas térmicas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Jefe de bodega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Para generar físicamente los códigos QR/barras de los cilindros.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Opcional; a validar con AFRISAN si ya cuentan con una.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3. Software y frameworks</w:t>
      </w:r>
    </w:p>
    <w:p w:rsidR="00000000" w:rsidDel="00000000" w:rsidP="00000000" w:rsidRDefault="00000000" w:rsidRPr="00000000" w14:paraId="00000027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La siguiente tabla resume las tecnologías seleccionadas para el desarrollo del sistema AFRISAN y su justificación técnica, en coherencia con la arquitectura definida para el proyecto.</w:t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4000"/>
        <w:tblGridChange w:id="0">
          <w:tblGrid>
            <w:gridCol w:w="2200"/>
            <w:gridCol w:w="28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Tecnología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Frontend móvil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.NET MAUI (.NET 8)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Permite desarrollar una aplicación multiplataforma para Android/iOS con una sola base de código. Se integra con Camera.MAUI / ZXing.Net.MAUI para lectura QR y con SQLite para operación offline.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Frontend web/escritorio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Blazor WebAssembly (.NET 8)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Mantiene el ecosistema .NET en la capa cliente web y consume la API REST mediante HTTPS/JSON.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Backend / API REST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ASP.NET Core Web API (.NET 8)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Framework seleccionado para implementar servicios REST, reglas de negocio, autenticación y acceso seguro a los datos.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JWT + ASP.NET Core Authentication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Permite autenticación stateless para la API, control de acceso por roles y transmisión segura sobre HTTPS/TLS.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ORM / acceso a datos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Entity Framework Core 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ORM seleccionado para el mapeo objeto-relacional, consultas y migraciones sobre PostgreSQL.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4. Base de datos y almacenamiento</w:t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4000"/>
        <w:tblGridChange w:id="0">
          <w:tblGrid>
            <w:gridCol w:w="2200"/>
            <w:gridCol w:w="28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Tecnología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central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PostgreSQL 16 / Supabase Cloud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Motor relacional robusto y compatible con Entity Framework Core. Supabase se utiliza como servicio administrado para alojar PostgreSQL en la nube.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Almacenamiento local offline (móvil)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SQLite (sqlite-net-pcl)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Persistencia local embebida para registrar información sin conexión y sincronizarla posteriormente con la API.</w:t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5. Infraestructura y servicios cloud</w:t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4000"/>
        <w:tblGridChange w:id="0">
          <w:tblGrid>
            <w:gridCol w:w="2200"/>
            <w:gridCol w:w="28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Tecnología seleccionada</w:t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Hosting del backend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Microsoft Azure App Service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Servicio seleccionado para desplegar ASP.NET Core Web API en un entorno administrado, compatible con el ecosistema .NET.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cloud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Supabase Cloud — PostgreSQL 16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Servicio administrado seleccionado para alojar la base de datos central PostgreSQL.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Inteligencia de negocios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Power BI Desktop + Power BI Service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Herramienta definida para el dashboard ejecutivo de inventario, costos e indicadores ambientales.</w:t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6. Herramientas de gestión, control de versiones y calidad</w:t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4000"/>
        <w:tblGridChange w:id="0">
          <w:tblGrid>
            <w:gridCol w:w="2200"/>
            <w:gridCol w:w="28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Herramienta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Git +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Repositorio, ramas por funcionalidad y revisión mediante pull requests.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Gestión ágil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Seguimiento del Product Backlog, Sprint Backlog y tareas por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Pruebas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OWASP ZAP y Nessus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Pruebas automatizadas de vulnerabilidades y controles OWASP.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Google Drive +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Drive para entregables/evidencias y GitHub para código y documentación.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Comunicación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[COMPLETAR — por ejemplo, WhatsApp / Discord / Teams]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Canal de coordinación diaria del equipo y con el docente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7. Estimación referencial de costos</w:t>
      </w:r>
    </w:p>
    <w:p w:rsidR="00000000" w:rsidDel="00000000" w:rsidP="00000000" w:rsidRDefault="00000000" w:rsidRPr="00000000" w14:paraId="00000067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La siguiente tabla entrega una estimación referencial de costos mensuales o anuales asociados a los servicios cloud considerados. Estos valores son aproximados y deberán confirmarse con cotizaciones actualizadas durante la etapa de desarrollo.</w:t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400"/>
        <w:gridCol w:w="3400"/>
        <w:tblGridChange w:id="0">
          <w:tblGrid>
            <w:gridCol w:w="3200"/>
            <w:gridCol w:w="24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Costo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Azure App Service + Supabase (nivel gratuito/básico)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$0 — $20.000 CLP/mes aprox.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Costo referencial sujeto al nivel de uso; ambos servicios disponen de opciones de entrada adecuadas para desarrollo académico.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Power BI (licencia Pro, si se requiere publicar/compartir)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$0 — $13.000 CLP/mes por usuario aprox.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Power BI Desktop es gratuito; Power BI Pro puede requerirse para compartir el dashboard con AFRISAN.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Dominio o subdominio propio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$0 — $15.000 CLP/año aprox.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Opcional; puede utilizarse un subdominio gratuito del proveedor cloud durante el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Cuenta de desarrollador (Google Play / App Store, si se publica)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$0 — $99 USD/año aprox. (App Store)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Solo aplica si se decide publicar la app móvil en tiendas oficiales; no es requisito para el alcance académico.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Para un proyecto de alcance académico, se espera que la mayoría de los servicios pueda operar dentro de los niveles gratuitos o de entrada de cada proveedor, salvo que AFRISAN requiera capacidades adicionales (por ejemplo, licencias Power BI Pro para compartir el dashboard con múltiples usuarios).</w:t>
      </w:r>
    </w:p>
    <w:p w:rsidR="00000000" w:rsidDel="00000000" w:rsidP="00000000" w:rsidRDefault="00000000" w:rsidRPr="00000000" w14:paraId="00000078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8. Matriz de responsables por recurso</w:t>
      </w:r>
    </w:p>
    <w:p w:rsidR="00000000" w:rsidDel="00000000" w:rsidP="00000000" w:rsidRDefault="00000000" w:rsidRPr="00000000" w14:paraId="00000079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La siguiente tabla asigna, de forma preliminar, un responsable dentro del equipo para cada frente técnico. Los campos [COMPLETAR] deberán definirse en conjunto con el equipo.</w:t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4800"/>
        <w:tblGridChange w:id="0">
          <w:tblGrid>
            <w:gridCol w:w="4200"/>
            <w:gridCol w:w="48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Frente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Backend / 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[COMPLETAR — integrante responsable]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App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[COMPLETAR — integrante responsable]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App web/escritorio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[COMPLETAR — integrante responsable]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Base de datos y modelo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Yarek Larraguibel (arquitectura técnica)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Dashboard Power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[COMPLETAR — integrante responsable]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Infraestructura cloud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Yarek Larraguibel (arquitectura técnica)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Pruebas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[COMPLETAR — integrante responsable]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Página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rtl w:val="0"/>
      </w:rPr>
      <w:t xml:space="preserve"> de </w:t>
    </w:r>
    <w:r w:rsidDel="00000000" w:rsidR="00000000" w:rsidRPr="00000000"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jc w:val="right"/>
      <w:rPr/>
    </w:pPr>
    <w:r w:rsidDel="00000000" w:rsidR="00000000" w:rsidRPr="00000000">
      <w:rPr>
        <w:sz w:val="19"/>
        <w:szCs w:val="19"/>
      </w:rPr>
      <w:drawing>
        <wp:inline distB="114300" distT="114300" distL="114300" distR="114300">
          <wp:extent cx="2314575" cy="58388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14575" cy="58388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Recursos Técnicos — APT AFRISAN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39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2e5395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Ou26+QM1seFZl1MWBmoFJWNbIw==">CgMxLjAyDWguc2dhMHdycjM3ejE4AHIhMXZpamUxMWNLeW5nLVVKVzR3RVhXdDZRV3RuZUtRdDJ0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2026-08-28T18:51:36.593Z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