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Sede Melipilla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Carrera: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Asignatura: Portafolio de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before="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Proyecto APT — AFRISAN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DOCUMENTO DE ARQUITECTURA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before="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Sistema Integral de Gestión de Inventario, Prevención de Pérdidas y Auditoría de Gases Refrigerantes — AFRISAN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Responsable de esta entrega: </w:t>
      </w:r>
      <w:r w:rsidDel="00000000" w:rsidR="00000000" w:rsidRPr="00000000">
        <w:rPr>
          <w:sz w:val="22"/>
          <w:szCs w:val="22"/>
          <w:rtl w:val="0"/>
        </w:rPr>
        <w:t xml:space="preserve">Yarek Larraguibel — Arquitectura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 del proyecto: </w:t>
      </w:r>
      <w:r w:rsidDel="00000000" w:rsidR="00000000" w:rsidRPr="00000000">
        <w:rPr>
          <w:rtl w:val="0"/>
        </w:rPr>
        <w:t xml:space="preserve">Carolina Ávila, Dante Moya, Yarek Larraguibel</w:t>
      </w:r>
    </w:p>
    <w:p w:rsidR="00000000" w:rsidDel="00000000" w:rsidP="00000000" w:rsidRDefault="00000000" w:rsidRPr="00000000" w14:paraId="0000000D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Docente guía: </w:t>
      </w:r>
      <w:r w:rsidDel="00000000" w:rsidR="00000000" w:rsidRPr="00000000">
        <w:rPr>
          <w:rtl w:val="0"/>
        </w:rPr>
        <w:t xml:space="preserve">Carlos Quintanilla</w:t>
      </w:r>
    </w:p>
    <w:p w:rsidR="00000000" w:rsidDel="00000000" w:rsidP="00000000" w:rsidRDefault="00000000" w:rsidRPr="00000000" w14:paraId="0000000E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02/09/2026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 </w:t>
      </w: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00" w:before="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2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Este documento consolida los entregables de arquitectura técnica del proyecto APT AFRISAN, a cargo de Yarek Larraguibel dentro del equipo. Complementa el Documento de Especificación de Requerimientos de Software (ERS) y cubre: el diagrama de componentes, el diagrama de despliegue, el diagrama entidad-relación (DER), la identificación preliminar de APIs, los recursos técnicos requeridos, la Estructura de Desglose de Trabajo (EDT) de tres niveles, y una evaluación de apoyo a la factibilidad técnica del proyecto.</w:t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Diagrama de componentes</w:t>
      </w:r>
    </w:p>
    <w:p w:rsidR="00000000" w:rsidDel="00000000" w:rsidP="00000000" w:rsidRDefault="00000000" w:rsidRPr="00000000" w14:paraId="00000014">
      <w:pPr>
        <w:spacing w:after="160" w:before="0" w:line="276" w:lineRule="auto"/>
        <w:rPr/>
      </w:pPr>
      <w:r w:rsidDel="00000000" w:rsidR="00000000" w:rsidRPr="00000000">
        <w:rPr>
          <w:rtl w:val="0"/>
        </w:rPr>
        <w:t>El siguiente diagrama muestra los componentes de software del sistema, organizados según una arquitectura cliente-servidor de tres capas lógicas: capa de presentación, capa de lógica de negocio y capa de persistencia/datos, junto con sus interacciones principales.</w:t>
      </w:r>
    </w:p>
    <w:p w:rsidR="00000000" w:rsidDel="00000000" w:rsidP="00000000" w:rsidRDefault="00000000" w:rsidRPr="00000000" w14:paraId="00000015">
      <w:pPr>
        <w:spacing w:after="120" w:before="2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607919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60" w:before="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Figura 1. Diagrama de componentes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0" w:lineRule="auto"/>
        <w:rPr/>
      </w:pPr>
      <w:r w:rsidDel="00000000" w:rsidR="00000000" w:rsidRPr="00000000">
        <w:rPr>
          <w:rtl w:val="0"/>
        </w:rPr>
        <w:t xml:space="preserve">3. Diagrama de despliegue</w:t>
      </w:r>
    </w:p>
    <w:p w:rsidR="00000000" w:rsidDel="00000000" w:rsidP="00000000" w:rsidRDefault="00000000" w:rsidRPr="00000000" w14:paraId="00000019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El siguiente diagrama representa la distribución física de los componentes sobre la infraestructura de hardware y los servicios cloud considerados para el proyecto.</w:t>
      </w:r>
    </w:p>
    <w:p w:rsidR="00000000" w:rsidDel="00000000" w:rsidP="00000000" w:rsidRDefault="00000000" w:rsidRPr="00000000" w14:paraId="0000001A">
      <w:pPr>
        <w:spacing w:after="120" w:before="2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620401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4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60" w:before="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Figura 2. Diagrama de despliegue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before="0" w:lineRule="auto"/>
        <w:rPr/>
      </w:pPr>
      <w:r w:rsidDel="00000000" w:rsidR="00000000" w:rsidRPr="00000000">
        <w:rPr>
          <w:rtl w:val="0"/>
        </w:rPr>
        <w:t xml:space="preserve">4. Diagrama entidad-relación (DER)</w:t>
      </w:r>
    </w:p>
    <w:p w:rsidR="00000000" w:rsidDel="00000000" w:rsidP="00000000" w:rsidRDefault="00000000" w:rsidRPr="00000000" w14:paraId="0000001E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El siguiente modelo entidad-relación preliminar identifica las entidades principales del dominio y sus relaciones, base para el diseño físico de la base de datos.</w:t>
      </w:r>
    </w:p>
    <w:p w:rsidR="00000000" w:rsidDel="00000000" w:rsidP="00000000" w:rsidRDefault="00000000" w:rsidRPr="00000000" w14:paraId="0000001F">
      <w:pPr>
        <w:spacing w:after="120" w:before="2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60" w:before="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Figura 3. Diagrama entidad-relación (DER) preliminar.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Entidades principales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(id_usuario, nombre, correo, contraseña, rol, activo)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(id_cliente, nombre, rut, teléfono)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(id_local, id_cliente, nombre, dirección, tipo_equipo)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GasRefrigerante (id_gas, código, nombre, factor_GWP)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Cilindro (id_cilindro, id_gas, código_QR, capacidad_kg, peso_actual_kg, estado)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MovimientoInventario (id_movimiento, id_cilindro, id_usuario, tipo, cantidad_kg, fecha)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Intervención (id_intervencion, numero_ot, id_local, id_cilindro, id_tecnico, id_autoriza, fecha, peso_retirado_kg, peso_utilizado_kg, balance_masa_porcentaje, estado_semaforo, emisiones_co2e, costo_total, estado_sincronizacion)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 (id_auditoria, id_usuario, id_intervencion, acción, valor_anterior, valor_nuevo, fecha)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00" w:before="0" w:lineRule="auto"/>
        <w:rPr/>
      </w:pPr>
      <w:r w:rsidDel="00000000" w:rsidR="00000000" w:rsidRPr="00000000">
        <w:rPr>
          <w:rtl w:val="0"/>
        </w:rPr>
        <w:t xml:space="preserve">5. Identificación de APIs</w:t>
      </w:r>
    </w:p>
    <w:p w:rsidR="00000000" w:rsidDel="00000000" w:rsidP="00000000" w:rsidRDefault="00000000" w:rsidRPr="00000000" w14:paraId="0000002C">
      <w:pPr>
        <w:spacing w:after="160" w:before="0" w:line="276" w:lineRule="auto"/>
        <w:rPr/>
      </w:pPr>
      <w:r w:rsidDel="00000000" w:rsidR="00000000" w:rsidRPr="00000000">
        <w:rPr>
          <w:rtl w:val="0"/>
        </w:rPr>
        <w:t>A continuación se identifican los endpoints REST previstos para satisfacer los requisitos del ERS. El diseño objetivo contempla versionado mediante el prefijo /api/v1 y ASP.NET Core Web API (.NET 8). Esta tabla es una especificación futura: la API implementada durante el desarrollo local utiliza rutas /api/...; no se declara que todas las rutas /api/v1/... estén disponibles actualmente.</w:t>
      </w:r>
    </w:p>
    <w:tbl>
      <w:tblPr>
        <w:tblStyle w:val="Table1"/>
        <w:tblW w:w="9799.0" w:type="dxa"/>
        <w:jc w:val="left"/>
        <w:tblInd w:w="-100.0" w:type="dxa"/>
        <w:tblLayout w:type="fixed"/>
        <w:tblLook w:val="0000"/>
      </w:tblPr>
      <w:tblGrid>
        <w:gridCol w:w="899"/>
        <w:gridCol w:w="2600"/>
        <w:gridCol w:w="4200"/>
        <w:gridCol w:w="2100"/>
        <w:tblGridChange w:id="0">
          <w:tblGrid>
            <w:gridCol w:w="899"/>
            <w:gridCol w:w="2600"/>
            <w:gridCol w:w="4200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Roles con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/api/v1/auth/login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Autenticación de usuario y emisión de token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Todos los perfiles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/api/v1/auth/logout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Cierre de sesión del usuario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Todos los perfiles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/api/v1/usuarios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Listar usuarios registrados con su rol y zona/bodega asignada.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/api/v1/usuarios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Crear un nuevo usuario y asignarle un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/api/v1/usuarios/{id}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Editar datos o rol de un usuario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/api/v1/usuarios/{id}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Desactivar un usuario (baja lógica).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/api/v1/cilindros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Listar cilindros registrados (código QR, tipo de gas, capacidad, GWP).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Bodeguero,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/api/v1/cilindros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un nuevo cilindro y generar su código QR.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Bodeguero,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/api/v1/cilindros/{id}/historial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historial y trazabilidad de movimientos de un cilindro.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Bodeguero,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/api/v1/movimientos-inventario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ingreso/egreso de un cilindro en bodega.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bodega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/api/v1/intervenciones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una intervención en terreno (OT, cliente, tipo, cantidades, autorización).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/api/v1/intervenciones/{id}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Corregir datos de una intervención ya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/api/v1/intervenciones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intervenciones filtrando por cliente, local, fecha 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grupo,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/api/v1/intervenciones/{id}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el detalle de una intervención específica.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grupo,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/api/v1/clientes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Listar clientes registrados (Cencosud, Walmart,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/api/v1/clientes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un nuevo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/api/v1/locales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Listar locales asociados a un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/api/v1/locales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un nuevo local/punto de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/api/v1/semaforo/zonas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Obtener el estado del semáforo GEI por local/zona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grupo,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/api/v1/indicadores/gei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Obtener emisiones de CO2e calculadas por local, cliente y periodo.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/api/v1/indicadores/costos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Obtener costos operacionales calculados por intervención y periodo.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/api/v1/reportes/costos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Generar reporte de costos filtrado por periodo/cliente/tipo de 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/api/v1/reportes/costos/export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Exportar el reporte de costos en formato PDF o Excel.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/api/v1/sync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Sincronizar registros creados en modo offline desde la app móvil.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Técnico, Jefe de bodega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/api/v1/auditoria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el log de auditoría (correcciones) filtrando por intervención o por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0" w:line="276" w:lineRule="auto"/>
        <w:rPr/>
      </w:pPr>
      <w:r w:rsidDel="00000000" w:rsidR="00000000" w:rsidRPr="00000000">
        <w:rPr>
          <w:rtl w:val="0"/>
        </w:rPr>
        <w:t>Como requisito de diseño objetivo, las rutas protegidas deberán exigir autenticación mediante JWT y autorización según el rol, y el despliegue deberá usar HTTPS/TLS. La implementación local actual todavía no cuenta con todos esos controles; no debe interpretarse esta especificación como una validación de seguridad realizada.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00" w:before="0" w:lineRule="auto"/>
        <w:rPr/>
      </w:pPr>
      <w:r w:rsidDel="00000000" w:rsidR="00000000" w:rsidRPr="00000000">
        <w:rPr>
          <w:rtl w:val="0"/>
        </w:rPr>
        <w:t xml:space="preserve">6. Recursos técnicos</w:t>
      </w:r>
    </w:p>
    <w:p w:rsidR="00000000" w:rsidDel="00000000" w:rsidP="00000000" w:rsidRDefault="00000000" w:rsidRPr="00000000" w14:paraId="0000009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6.1 Hardware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Dispositivos móviles (Android/iOS) con cámara, para el personal técnico y de bodega — escaneo de código QR/barras y captura de fotografías de respaldo.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Estaciones de trabajo para el personal administrativo (Jefe de grupo, Jefe de bodega, Administrador general).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Impresora de etiquetas térmicas para la generación física de códigos QR/barras de los cilindros (opcional, a validar con AFRISAN).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6.2 Software y frameworks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Frontend móvil previsto: .NET MAUI (.NET 8), con patrón MVVM aplicado únicamente a la interfaz del cliente móvil, Camera.MAUI / ZXing.Net.MAUI para cámara y lectura QR, y SQLite para funcionamiento offline.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Frontend web/escritorio: Blazor WebAssembly (.NET 8), consumidor de la API REST. El diseño de despliegue contempla HTTPS/JSON; el entorno local de desarrollo puede operar con una configuración distinta y deberá verificarse antes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Backend/API REST: ASP.NET Core Web API (.NET 8) con Entity Framework Core 8. Corresponde a la capa de lógica de negocio y centraliza validaciones, reglas de inventario, trazabilidad, auditoría y acceso controlado a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Autenticación prevista: JSON Web Tokens (JWT) mediante ASP.NET Core Authentication, con autorización por roles y almacenamiento seguro de credenciales. Su desarrollo y verificación permanecen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6.3 Base de datos y almacenamiento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Base de datos central: PostgreSQL /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Almacenamiento local offline en dispositivos móviles: SQLite (sqlite-net-pcl), con sincronización asíncrona hacia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6.4 Infraestructura y servicios cloud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Hosting del backend: Microsoft Azure App Service. Base de datos central: PostgreSQL 16 alojado en Supabase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Power BI Desktop y Power BI Service, para la construcción y publicación del dashboard ejecutivo.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6.5 Herramientas de gestión y control de calidad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 de versiones: Git / GitHub, con flujo de ramas y revisión de código (pull requests).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Gestión ágil del proyecto: Trello, organizado mediante Product Backlog, Sprint Backlog y seguimiento por 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Pruebas de seguridad: OWASP ZAP y Nessus, para la mitigación de vulnerabilidades (SQLi, XSS, RLS).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Documentación técnica: Google Drive para entregables y evidencias, y GitHub para código y documentación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200" w:before="0" w:lineRule="auto"/>
        <w:rPr/>
      </w:pPr>
      <w:r w:rsidDel="00000000" w:rsidR="00000000" w:rsidRPr="00000000">
        <w:rPr>
          <w:rtl w:val="0"/>
        </w:rPr>
        <w:t xml:space="preserve">7. Estructura de Desglose de Trabajo (EDT) — 3 niveles</w:t>
      </w:r>
    </w:p>
    <w:p w:rsidR="00000000" w:rsidDel="00000000" w:rsidP="00000000" w:rsidRDefault="00000000" w:rsidRPr="00000000" w14:paraId="000000AF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El siguiente diagrama presenta la EDT de tres niveles: el proyecto AFRISAN (nivel 1), sus tres fases principales (nivel 2) y los paquetes de trabajo asociados a cada fase (nivel 3).</w:t>
      </w:r>
    </w:p>
    <w:p w:rsidR="00000000" w:rsidDel="00000000" w:rsidP="00000000" w:rsidRDefault="00000000" w:rsidRPr="00000000" w14:paraId="000000B0">
      <w:pPr>
        <w:spacing w:after="120" w:before="2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60" w:before="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Figura 4. Estructura de Desglose del Trabajo (EDT) de tres niveles.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7.1 Detalle del nivel 3 (paquetes de trabajo)</w:t>
      </w:r>
    </w:p>
    <w:p w:rsidR="00000000" w:rsidDel="00000000" w:rsidP="00000000" w:rsidRDefault="00000000" w:rsidRPr="00000000" w14:paraId="000000B3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La siguiente tabla detalla los paquetes de trabajo del nivel 3 asociados a las tres fases definidas para el proyecto.</w:t>
      </w:r>
    </w:p>
    <w:tbl>
      <w:tblPr>
        <w:tblStyle w:val="Table2"/>
        <w:tblW w:w="8899.0" w:type="dxa"/>
        <w:jc w:val="left"/>
        <w:tblInd w:w="-100.0" w:type="dxa"/>
        <w:tblLayout w:type="fixed"/>
        <w:tblLook w:val="0000"/>
      </w:tblPr>
      <w:tblGrid>
        <w:gridCol w:w="2200"/>
        <w:gridCol w:w="899"/>
        <w:gridCol w:w="2800"/>
        <w:gridCol w:w="3000"/>
        <w:tblGridChange w:id="0">
          <w:tblGrid>
            <w:gridCol w:w="2200"/>
            <w:gridCol w:w="899"/>
            <w:gridCol w:w="28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Fase (nivel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Cód.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Paquete de trabajo (nivel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Entregable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1. Definición y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levantados y validados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1. Definición y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Análisis de requerimientos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 requerimientos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1. Definición y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Modelado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MER / DER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1. Definición y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Arquitectura de software 4+1 basada en tres capas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Arquitectura técnica de tres capas y diagramas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1. Definición y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Plan de trabajo y backlog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2. Diseño y desarrollo ágil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Prototipado UI/UX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Prototipos de interfaces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2. Diseño y desarrollo ágil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Sprint 1: Backend, autenticación y módulo bodega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API base, autenticación y módulo bodega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2. Diseño y desarrollo ágil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Sprint 2: Módulo terreno y reglas de negocio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Módulo móvil/terreno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2. Diseño y desarrollo ágil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Sprint 3: Reportería BI y motor de emisiones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Dashboard Power BI e indicadores CO2e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2. Diseño y desarrollo ágil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Pruebas 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Informe de pruebas funcionales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2. Diseño y desarrollo ágil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Pruebas de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Informe de pruebas de 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2. Diseño y desarrollo ágil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Corrección de errores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Versión estabilizada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3. Implementación y cierre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Marcha blanca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Validación en ambiente de prueba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3. Implementación y cierre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Despliegue en producción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Sistema desplegado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3. Implementación y cierre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manual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3. Implementación y cierre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manual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Manual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3. Implementación y cierre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y cierre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Portafolio e informe final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200" w:before="0" w:lineRule="auto"/>
        <w:rPr/>
      </w:pPr>
      <w:r w:rsidDel="00000000" w:rsidR="00000000" w:rsidRPr="00000000">
        <w:rPr>
          <w:rtl w:val="0"/>
        </w:rPr>
        <w:t xml:space="preserve">8. Apoyo a la factibilidad técnica</w:t>
      </w:r>
    </w:p>
    <w:p w:rsidR="00000000" w:rsidDel="00000000" w:rsidP="00000000" w:rsidRDefault="00000000" w:rsidRPr="00000000" w14:paraId="000000FE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Esta sección entrega un análisis preliminar de factibilidad técnica del proyecto, como apoyo a la evaluación de factibilidad general del Proyecto de Título.</w:t>
      </w:r>
    </w:p>
    <w:p w:rsidR="00000000" w:rsidDel="00000000" w:rsidP="00000000" w:rsidRDefault="00000000" w:rsidRPr="00000000" w14:paraId="000000F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8.1 Factibilidad tecnológica</w:t>
      </w:r>
    </w:p>
    <w:p w:rsidR="00000000" w:rsidDel="00000000" w:rsidP="00000000" w:rsidRDefault="00000000" w:rsidRPr="00000000" w14:paraId="00000100">
      <w:pPr>
        <w:spacing w:after="160" w:before="0" w:line="276" w:lineRule="auto"/>
        <w:rPr/>
      </w:pPr>
      <w:r w:rsidDel="00000000" w:rsidR="00000000" w:rsidRPr="00000000">
        <w:rPr>
          <w:rtl w:val="0"/>
        </w:rPr>
        <w:t>Las tecnologías seleccionadas —.NET MAUI, Blazor WebAssembly, ASP.NET Core Web API, Entity Framework Core, PostgreSQL/Supabase, SQLite, Azure App Service y Power BI— son tecnologías maduras, documentadas y compatibles entre sí. La arquitectura global se organiza como cliente-servidor de tres capas lógicas, lo que reduce la ambigüedad entre presentación, lógica de negocio y persistencia, y facilita la integración progresiva entre componentes.</w:t>
      </w:r>
    </w:p>
    <w:p w:rsidR="00000000" w:rsidDel="00000000" w:rsidP="00000000" w:rsidRDefault="00000000" w:rsidRPr="00000000" w14:paraId="0000010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8.2 Factibilidad de infraestructura</w:t>
      </w:r>
    </w:p>
    <w:p w:rsidR="00000000" w:rsidDel="00000000" w:rsidP="00000000" w:rsidRDefault="00000000" w:rsidRPr="00000000" w14:paraId="00000102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La solución propuesta no requiere infraestructura física adicional relevante por parte de AFRISAN: los dispositivos móviles y estaciones de trabajo ya existen o son de bajo costo de adquisición, y el backend/base de datos se aloja en servicios cloud gestionados, evitando la necesidad de servidores propios.</w:t>
      </w:r>
    </w:p>
    <w:p w:rsidR="00000000" w:rsidDel="00000000" w:rsidP="00000000" w:rsidRDefault="00000000" w:rsidRPr="00000000" w14:paraId="0000010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8.3 Factibilidad de integración y trabajo offline</w:t>
      </w:r>
    </w:p>
    <w:p w:rsidR="00000000" w:rsidDel="00000000" w:rsidP="00000000" w:rsidRDefault="00000000" w:rsidRPr="00000000" w14:paraId="00000104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El requisito de funcionamiento offline en la app móvil (RF-05, RNF-10) es técnicamente factible mediante SQLite local y sincronización diferida con la API REST. Se identifica como punto de atención el diseño de reglas de resolución de conflictos de sincronización (ver riesgo R4 del ERS).</w:t>
      </w:r>
    </w:p>
    <w:p w:rsidR="00000000" w:rsidDel="00000000" w:rsidP="00000000" w:rsidRDefault="00000000" w:rsidRPr="00000000" w14:paraId="0000010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8.4 Factibilidad de seguridad</w:t>
      </w:r>
    </w:p>
    <w:p w:rsidR="00000000" w:rsidDel="00000000" w:rsidP="00000000" w:rsidRDefault="00000000" w:rsidRPr="00000000" w14:paraId="00000106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El cumplimiento de mitigaciones OWASP (RNF-01, RNF-02) es alcanzable dentro del plazo del proyecto mediante prácticas estándar (autenticación con JWT, cifrado de contraseñas, HTTPS/TLS, validación de entradas) y la ejecución de pruebas de seguridad automatizadas (OWASP ZAP, Nessus) antes de la entrega.</w:t>
      </w:r>
    </w:p>
    <w:p w:rsidR="00000000" w:rsidDel="00000000" w:rsidP="00000000" w:rsidRDefault="00000000" w:rsidRPr="00000000" w14:paraId="0000010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8.5 Factibilidad respecto al equipo y al tiempo disponible</w:t>
      </w:r>
    </w:p>
    <w:p w:rsidR="00000000" w:rsidDel="00000000" w:rsidP="00000000" w:rsidRDefault="00000000" w:rsidRPr="00000000" w14:paraId="00000108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Dado que las debilidades declaradas por el equipo incluyen metodologías ágiles, levantamiento de requerimientos y planificación de tiempos, se considera necesario reforzar estas competencias durante la fase de análisis y diseño para asegurar que el alcance definido sea abordable dentro de la dedicación estimada de 8 a 12 horas semanales por integrante durante el segundo semestre académico.</w:t>
      </w:r>
    </w:p>
    <w:p w:rsidR="00000000" w:rsidDel="00000000" w:rsidP="00000000" w:rsidRDefault="00000000" w:rsidRPr="00000000" w14:paraId="0000010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8.6 Conclusión preliminar</w:t>
      </w:r>
    </w:p>
    <w:p w:rsidR="00000000" w:rsidDel="00000000" w:rsidP="00000000" w:rsidRDefault="00000000" w:rsidRPr="00000000" w14:paraId="0000010A">
      <w:pPr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En base a lo anterior, el proyecto se considera técnicamente factible si se mantiene el alcance definido en el ERS, se priorizan los módulos críticos de intervenciones, balance de masa/semáforo y sincronización offline, y se da seguimiento activo a los riesgos R1, R2 y R4.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jc w:val="right"/>
      <w:rPr/>
    </w:pPr>
    <w:r w:rsidDel="00000000" w:rsidR="00000000" w:rsidRPr="00000000">
      <w:rPr>
        <w:sz w:val="19"/>
        <w:szCs w:val="19"/>
      </w:rPr>
      <w:drawing>
        <wp:inline distB="114300" distT="114300" distL="114300" distR="114300">
          <wp:extent cx="2314575" cy="583883"/>
          <wp:effectExtent b="0" l="0" r="0" t="0"/>
          <wp:docPr id="1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14575" cy="5838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Arquitectura Técnica — APT AFRISAN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before="400" w:lineRule="auto"/>
    </w:pPr>
    <w:rPr>
      <w:rFonts w:ascii="Liberation Sans" w:cs="Liberation Sans" w:eastAsia="Liberation Sans" w:hAnsi="Liberation Sans"/>
      <w:b w:val="1"/>
      <w:bCs w:val="1"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 w:val="1"/>
      <w:spacing w:after="150" w:before="300" w:lineRule="auto"/>
    </w:pPr>
    <w:rPr>
      <w:rFonts w:ascii="Liberation Sans" w:cs="Liberation Sans" w:eastAsia="Liberation Sans" w:hAnsi="Liberation Sans"/>
      <w:b w:val="1"/>
      <w:bCs w:val="1"/>
      <w:color w:val="2e539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00" w:before="200" w:lineRule="auto"/>
    </w:pPr>
    <w:rPr>
      <w:rFonts w:ascii="Liberation Sans" w:cs="Liberation Sans" w:eastAsia="Liberation Sans" w:hAnsi="Liberation Sans"/>
      <w:b w:val="1"/>
      <w:bCs w:val="1"/>
      <w:i w:val="1"/>
      <w:iCs w:val="1"/>
      <w:color w:val="2e5395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trongEmphasis">
    <w:name w:val="Strong Emphasis"/>
    <w:qFormat w:val="1"/>
    <w:pPr>
      <w:widowControl w:val="1"/>
      <w:bidi w:val="0"/>
      <w:spacing w:after="0" w:before="0"/>
      <w:jc w:val="left"/>
    </w:pPr>
    <w:rPr>
      <w:rFonts w:ascii="Calibri" w:cs="Calibri" w:eastAsia="Calibri" w:hAnsi="Calibri"/>
      <w:b w:val="1"/>
      <w:bCs w:val="1"/>
      <w:color w:val="auto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0" w:before="0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CIlrTLVEilLNiBpTuhIkcYA7bg==">CgMxLjA4AHIhMTV0Vm1nUnBzQVMzQWRpOEdoaVNiZ2x5cl8ydVpLaEVN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2026-08-28T18:44:27Z</dcterms:created>
  <dc:creator>Un-named</dc:creator>
</cp:coreProperties>
</file>