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Product owner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Gerente de proyecto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con claridad qué elementos entran en el desarrollo (Módulo móvil offline, lectura QR, conciliación de masa y tablero Power BI) y qué queda fuera (modificación del ERP Defontana), evitando riesgos de sobrecostos o retrasos futuros.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Surgieron complicaciones y vacíos en los requerimientos iniciales debido a la dificultad para coordinar horarios con los técnicos que se encuentran desplegados en las centrales de frío de 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Diseñar e iterar los prototipos en Figma con los técnicos antes de programar la app móvil, garantizando que el flujo de escaneo QR en las salas de máquinas sea rápido y ejecutable a un solo toque.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5727065" cy="2768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5727065" cy="27686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065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7992745" cy="2768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-59686</wp:posOffset>
              </wp:positionH>
              <wp:positionV relativeFrom="paragraph">
                <wp:posOffset>139065</wp:posOffset>
              </wp:positionV>
              <wp:extent cx="7992745" cy="27686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92745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t0lXPHFVF+9zMD7IUOFpx23Rw==">CgMxLjA4AHIhMTFQc3FETU1oOWhXY1BWSXhBSGQ0Uzk2NHFPbVlhWVJa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