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Integral de Gestión de Inventario, Prevención de Pérdidas y Auditoría de Gases Refrigerantes.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Llamada de voz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 owner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de proyecto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 owner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de proyecto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7.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lograron estandarizar matemáticamente las reglas del negocio esenciales antes de escribir código: los rangos del semáforo de fugas (5% - 15%) y los factores internacionales de conversión GWP para el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El equipo evidenció una marcada tendencia a concentrarse en la arquitectura del software y herramientas de programación antes de comprender en su totalidad los flujos de negocio y las necesidades específicas de los usuarios finales.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Programar sesiones breves de inducción práctica con los técnicos en terreno y bodegueros utilizando los prototipos de Figma y las primeras versiones de la app. Esto facilitará la adopción de la lectura óptica y asegurará que el flujo sea intuitivo.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896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464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K0e+BHLNSFEkJGznuKGtBTfkRA==">CgMxLjA4AHIhMXJ4QXJRT2NfUlk2MTVMSGRZR0tpZmxFMVdTWnhYLWtY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