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Las actividades de la Fase 1 se conectaron con precisión con las competencias clave (gestión de requisitos, modelado de datos y gestión de proyectos), garantizando que el diseño metodológico responda a los estándares académicos de la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equipo identificó una debilidad interna en la planificación, estimación de tiempos y gestión completa del ciclo de trabajo bajo el marco Scrum, lo que generó incertidumbre sobre los plazos reales de los entregables.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Coordinar con AFRISAN la impresión y colocación de etiquetas de prueba en cilindros reales durante la marcha blanca. El objetivo es validar en terreno su resistencia a la abrasión, humedad y bajas temperaturas de las cámaras de frío antes del despliegue masivo.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5765165" cy="31496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5765165" cy="31496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16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8030845" cy="3149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8030845" cy="3149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084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EaclcY/5Lm6DrhI7whPU5CcGw==">CgMxLjA4AHIhMXVrX0VoUmhyQVhYRjh5c2RqbWNyb2hySk5mbkF3R2lJ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