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66"/>
          <w:szCs w:val="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0"/>
        <w:widowControl w:val="1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0"/>
        <w:widowControl w:val="1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0"/>
        <w:widowControl w:val="1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0"/>
        <w:widowControl w:val="1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PAUTA Y REGISTRO DE ENTREVISTA TÉCNICA</w:t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Grupo 6: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Carolina Ávila, Yarek Larraguibel y Dante Moya</w:t>
      </w:r>
    </w:p>
    <w:p w:rsidR="00000000" w:rsidDel="00000000" w:rsidP="00000000" w:rsidRDefault="00000000" w:rsidRPr="00000000" w14:paraId="0000000E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Asignatura: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Capstone</w:t>
      </w:r>
    </w:p>
    <w:p w:rsidR="00000000" w:rsidDel="00000000" w:rsidP="00000000" w:rsidRDefault="00000000" w:rsidRPr="00000000" w14:paraId="0000000F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Líder Técnico: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Carlos Quintanilla</w:t>
      </w:r>
    </w:p>
    <w:p w:rsidR="00000000" w:rsidDel="00000000" w:rsidP="00000000" w:rsidRDefault="00000000" w:rsidRPr="00000000" w14:paraId="00000010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ab/>
        <w:tab/>
        <w:tab/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3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qq4l08sfp169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Ficha Técnica de la Entrevista</w:t>
      </w: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6855"/>
        <w:tblGridChange w:id="0">
          <w:tblGrid>
            <w:gridCol w:w="2145"/>
            <w:gridCol w:w="68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Sistema Integral de Gestión de Inventario, Prevención de Pérdidas y Auditoría de Gases Refrigerantes.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Organización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Accesorios Frigoríficos Santiago Limitada (AFRISAN Ltda.).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Entrevistado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Carlos Aguilera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Entrevistador(a)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Carolina Ávila Medina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 y Lugar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23 de Agosto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Objetivo de la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Levantar el flujo operativo real del ciclo de vida del refrigerante (importación, despacho, aplicación en terreno y logística inversa), identificar los puntos de quiebre de trazabilidad, riesgos de robo y requerimientos normativos ambientales. </w:t>
            </w:r>
          </w:p>
        </w:tc>
      </w:tr>
    </w:tbl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3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l8svn4wf6jeu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Cuestionario Aplicado y Registro de Respuestas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Pregunta 1: ¿De dónde provienen los gases refrigerantes y cómo se registran al llegar a AFRISAN?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Respuesta de la contraparte: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Los refrigerantes (HFCs como R-507, R-404A, R-134a, R-22) se importan directamente desde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China o Estados Unidos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Al ingresar a la bodega central en Cerrillos, se dan de alta en el ERP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Defontana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 un código de producto/lote genérico.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Pregunta 2: ¿Cómo se gestiona el despacho hacia los locales de los clientes (Walmart, Cencosud)?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Respuesta de la contraparte: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Cuando una tienda requiere mantenimiento, se genera una Orden de Trabajo (OT) y una Guía de Despacho desde Defontana. Por ejemplo, si se necesitan 10 botellas de R-507, la guía ampara la salida de 10 unidades hacia el local y el técnico llega al lugar a realizar el trabajo.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Pregunta 3: ¿Dónde se detecta el quiebre de trazabilidad o pérdida de control?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Respuesta de la contraparte: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La trazabilidad se pierde totalmente en la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carga en terreno y durante el traslado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Los envases no cuentan con un código de barra o QR unitario (solo se sabe que salieron 10 botellas en grupo). Además, en los locales de los clientes no se audita la carga real y antiguamente se usaban precintos manuales pero esa práctica se abandonó, por lo que todo queda sujeto a la confianza en el técnico. Existe riesgo latente de robos hormiga o desvíos durante los traslados.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Pregunta 4: ¿Qué ocurre con la logística inversa y la devolución de los envases vacíos?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Respuesta de la contraparte: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Hoy el técnico no tiene un mecanismo estricto u obligatorio que lo fuerce a devolver el 100% de los envases. De 10 botellas despachadas, a veces devuelven 7. Los 3 envases restantes quedan en destino informal: vertederos, acopiados sin control o usados por terceros para fabricar braseros/parrillas artesanales, lo que provoca la perforación del metal y la liberación directa de remanentes tóxicos a la atmósfera.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Pregunta 5: ¿A qué entidad se entregan los envases recuperados y qué respaldo entregan?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Respuesta de la contraparte: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Los envases que sí se recuperan se entregan como chatarra a la empresa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Regener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quienes realizan la disposición intermedia y emiten 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Certificado de Disposición Intermedia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Se necesita vincular digitalmente qué cilindros salieron con qué certificado de Regener para auditorías del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Ministerio del Medio Ambiente (Unidad Ozono - Protocolo de Montreal / Enmienda de Kigali)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4305300</wp:posOffset>
          </wp:positionH>
          <wp:positionV relativeFrom="paragraph">
            <wp:posOffset>-304799</wp:posOffset>
          </wp:positionV>
          <wp:extent cx="2090738" cy="51400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90738" cy="51400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 w:val="0"/>
        <w:b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