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DUOC UC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0" w:before="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Sede Melipilla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Carrera: Ingeniería en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before="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Asignatura: Portafolio de Título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0" w:before="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Proyecto APT — AFRISAN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before="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DOCUMENTO DE ARQUITECTURA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0" w:before="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Sistema Integral de Gestión de Inventario, Prevención de Pérdidas y Auditoría de Gases Refrigerantes — AFRISAN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before="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Responsable de esta entrega: </w:t>
      </w:r>
      <w:r w:rsidDel="00000000" w:rsidR="00000000" w:rsidRPr="00000000">
        <w:rPr>
          <w:sz w:val="22"/>
          <w:szCs w:val="22"/>
          <w:rtl w:val="0"/>
        </w:rPr>
        <w:t xml:space="preserve">Yarek Larraguibel — Arquitectura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Integrantes del proyecto: </w:t>
      </w:r>
      <w:r w:rsidDel="00000000" w:rsidR="00000000" w:rsidRPr="00000000">
        <w:rPr>
          <w:rtl w:val="0"/>
        </w:rPr>
        <w:t xml:space="preserve">Carolina Ávila, Dante Moya, Yarek Larraguibel</w:t>
      </w:r>
    </w:p>
    <w:p w:rsidR="00000000" w:rsidDel="00000000" w:rsidP="00000000" w:rsidRDefault="00000000" w:rsidRPr="00000000" w14:paraId="0000000D">
      <w:pPr>
        <w:spacing w:after="1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Docente guía: </w:t>
      </w:r>
      <w:r w:rsidDel="00000000" w:rsidR="00000000" w:rsidRPr="00000000">
        <w:rPr>
          <w:rtl w:val="0"/>
        </w:rPr>
        <w:t xml:space="preserve">Carlos Quintanilla</w:t>
      </w:r>
    </w:p>
    <w:p w:rsidR="00000000" w:rsidDel="00000000" w:rsidP="00000000" w:rsidRDefault="00000000" w:rsidRPr="00000000" w14:paraId="0000000E">
      <w:pPr>
        <w:spacing w:after="1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 02/09/2026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 </w:t>
      </w:r>
      <w:r w:rsidDel="00000000" w:rsidR="00000000" w:rsidRPr="00000000">
        <w:rPr>
          <w:rtl w:val="0"/>
        </w:rPr>
        <w:t xml:space="preserve">1.0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12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Este documento consolida los entregables de arquitectura técnica del proyecto APT AFRISAN, a cargo de Yarek Larraguibel dentro del equipo. Complementa el Documento de Especificación de Requerimientos de Software (ERS) y cubre: el diagrama de componentes, el diagrama de despliegue, el diagrama entidad-relación (DER), la identificación preliminar de APIs, los recursos técnicos requeridos, la Estructura de Desglose de Trabajo (EDT) de tres niveles, y una evaluación de apoyo a la factibilidad técnica del proyecto.</w:t>
      </w:r>
    </w:p>
    <w:p w:rsidR="00000000" w:rsidDel="00000000" w:rsidP="00000000" w:rsidRDefault="00000000" w:rsidRPr="00000000" w14:paraId="00000013">
      <w:pPr>
        <w:pStyle w:val="Heading1"/>
        <w:spacing w:after="200" w:before="400" w:lineRule="auto"/>
        <w:rPr/>
      </w:pPr>
      <w:r w:rsidDel="00000000" w:rsidR="00000000" w:rsidRPr="00000000">
        <w:rPr>
          <w:rtl w:val="0"/>
        </w:rPr>
        <w:t xml:space="preserve">2. Diagrama de componentes</w:t>
      </w:r>
    </w:p>
    <w:p w:rsidR="00000000" w:rsidDel="00000000" w:rsidP="00000000" w:rsidRDefault="00000000" w:rsidRPr="00000000" w14:paraId="00000014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El siguiente diagrama muestra los componentes de software del sistema, agrupados en capa cliente, capa de aplicación (backend) y capa de datos/servicios externos, junto con sus interacciones principales.</w:t>
      </w:r>
    </w:p>
    <w:p w:rsidR="00000000" w:rsidDel="00000000" w:rsidP="00000000" w:rsidRDefault="00000000" w:rsidRPr="00000000" w14:paraId="00000015">
      <w:pPr>
        <w:spacing w:after="120" w:before="20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6079195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9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60" w:before="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1. Diagrama de componentes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3. Diagrama de despliegue</w:t>
      </w:r>
    </w:p>
    <w:p w:rsidR="00000000" w:rsidDel="00000000" w:rsidP="00000000" w:rsidRDefault="00000000" w:rsidRPr="00000000" w14:paraId="00000019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El siguiente diagrama representa la distribución física de los componentes sobre la infraestructura de hardware y los servicios cloud considerados para el proyecto.</w:t>
      </w:r>
    </w:p>
    <w:p w:rsidR="00000000" w:rsidDel="00000000" w:rsidP="00000000" w:rsidRDefault="00000000" w:rsidRPr="00000000" w14:paraId="0000001A">
      <w:pPr>
        <w:spacing w:after="120" w:before="20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6204015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4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60" w:before="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2. Diagrama de despliegue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4. Diagrama entidad-relación (DER)</w:t>
      </w:r>
    </w:p>
    <w:p w:rsidR="00000000" w:rsidDel="00000000" w:rsidP="00000000" w:rsidRDefault="00000000" w:rsidRPr="00000000" w14:paraId="0000001E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El siguiente modelo entidad-relación preliminar identifica las entidades principales del dominio y sus relaciones, base para el diseño físico de la base de datos.</w:t>
      </w:r>
    </w:p>
    <w:p w:rsidR="00000000" w:rsidDel="00000000" w:rsidP="00000000" w:rsidRDefault="00000000" w:rsidRPr="00000000" w14:paraId="0000001F">
      <w:pPr>
        <w:spacing w:after="120" w:before="20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3343275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60" w:before="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3. Diagrama entidad-relación (DER) preliminar.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  <w:t xml:space="preserve">Entidades principales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 (id_usuario, nombre, correo, contraseña, rol, activo)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 (id_cliente, nombre, rut, teléfono)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Local (id_local, id_cliente, nombre, dirección, tipo_equipo)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GasRefrigerante (id_gas, código, nombre, factor_GWP)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Cilindro (id_cilindro, id_gas, código_QR, capacidad_kg, peso_actual_kg, estado)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MovimientoInventario (id_movimiento, id_cilindro, id_usuario, tipo, cantidad_kg, fecha)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Intervención (id_intervencion, numero_ot, id_local, id_cilindro, id_tecnico, id_autoriza, fecha, peso_retirado_kg, peso_utilizado_kg, balance_masa_porcentaje, estado_semaforo, emisiones_co2e, costo_total, estado_sincronizacion)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Auditoría (id_auditoria, id_usuario, id_intervencion, acción, valor_anterior, valor_nuevo, fecha)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5. Identificación de APIs</w:t>
      </w:r>
    </w:p>
    <w:p w:rsidR="00000000" w:rsidDel="00000000" w:rsidP="00000000" w:rsidRDefault="00000000" w:rsidRPr="00000000" w14:paraId="0000002C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A continuación se identifican los endpoints REST principales definidos para soportar los requisitos funcionales del ERS. La API utiliza versionado mediante el prefijo /api/v1 y se implementa sobre ASP.NET Core Web API (.NET 8).</w:t>
      </w:r>
    </w:p>
    <w:tbl>
      <w:tblPr>
        <w:tblStyle w:val="Table1"/>
        <w:tblW w:w="9799.0" w:type="dxa"/>
        <w:jc w:val="left"/>
        <w:tblInd w:w="-100.0" w:type="dxa"/>
        <w:tblLayout w:type="fixed"/>
        <w:tblLook w:val="0000"/>
      </w:tblPr>
      <w:tblGrid>
        <w:gridCol w:w="899"/>
        <w:gridCol w:w="2600"/>
        <w:gridCol w:w="4200"/>
        <w:gridCol w:w="2100"/>
        <w:tblGridChange w:id="0">
          <w:tblGrid>
            <w:gridCol w:w="899"/>
            <w:gridCol w:w="2600"/>
            <w:gridCol w:w="4200"/>
            <w:gridCol w:w="21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Roles con acceso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/api/v1/auth/login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Autenticación de usuario y emisión de token de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los perfiles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/api/v1/auth/logout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Cierre de sesión del usuario autenticado.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los perfiles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/api/v1/usuarios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Listar usuarios registrados con su rol y zona/bodega asignada.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/api/v1/usuarios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Crear un nuevo usuario y asignarle un rol.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/api/v1/usuarios/{id}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datos o rol de un usuario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/api/v1/usuarios/{id}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Desactivar un usuario (baja lógica).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/api/v1/cilindros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Listar cilindros registrados (código QR, tipo de gas, capacidad, GWP).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Bodeguero, 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/api/v1/cilindros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un nuevo cilindro y generar su código QR.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Bodeguero, 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/api/v1/cilindros/{id}/historial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historial y trazabilidad de movimientos de un cilindro.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Bodeguero, 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/api/v1/movimientos-inventario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ingreso/egreso de un cilindro en bodega.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Jefe de bodega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/api/v1/intervenciones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una intervención en terreno (OT, cliente, tipo, cantidades, autorización).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Técnico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/api/v1/intervenciones/{id}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Corregir datos de una intervención ya registrada.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/api/v1/intervenciones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intervenciones filtrando por cliente, local, fecha o técnico.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Jefe de grupo, 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/api/v1/intervenciones/{id}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el detalle de una intervención específica.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Jefe de grupo, 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/api/v1/clientes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Listar clientes registrados (Cencosud, Walmart, etc.).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/api/v1/clientes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un nuevo cliente.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/api/v1/locales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Listar locales asociados a un cliente.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/api/v1/locales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un nuevo local/punto de servicio.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/api/v1/semaforo/zonas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Obtener el estado del semáforo GEI por local/zona en tiempo real.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Jefe de grupo, 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/api/v1/indicadores/gei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Obtener emisiones de CO2e calculadas por local, cliente y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/api/v1/indicadores/costos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Obtener costos operacionales calculados por intervención y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/api/v1/reportes/costos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Generar reporte de costos filtrado por periodo/cliente/tipo de gas.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/api/v1/reportes/costos/export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el reporte de costos en formato PDF o Excel.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/api/v1/sync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Sincronizar registros creados en modo offline desde la app móvil.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Técnico, Jefe de bodega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/api/v1/auditoria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el log de auditoría (correcciones) filtrando por intervención o por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Administrador general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Todas las rutas, salvo /api/v1/auth/login, requerirán un token de autenticación (JWT) en el encabezado de la solicitud, y las comunicaciones se realizarán exclusivamente sobre HTTPS/TLS, conforme al requisito RNF-02 del ERS.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6. Recursos técnicos</w:t>
      </w:r>
    </w:p>
    <w:p w:rsidR="00000000" w:rsidDel="00000000" w:rsidP="00000000" w:rsidRDefault="00000000" w:rsidRPr="00000000" w14:paraId="00000099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6.1 Hardware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Dispositivos móviles (Android/iOS) con cámara, para el personal técnico y de bodega — escaneo de código QR/barras y captura de fotografías de respaldo.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Estaciones de trabajo para el personal administrativo (Jefe de grupo, Jefe de bodega, Administrador general).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Impresora de etiquetas térmicas para la generación física de códigos QR/barras de los cilindros (opcional, a validar con AFRISAN).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6.2 Software y frameworks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Frontend móvil: .NET MAUI (.NET 8), con patrón MVVM, Camera.MAUI / ZXing.Net.MAUI para cámara y lectura QR, y SQLite para funcionamiento offline.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Frontend web/escritorio: Blazor WebAssembly (.NET 8), consumiendo la API REST mediante HTTPS/JSON.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Backend/API REST: ASP.NET Core Web API (.NET 8) con Entity Framework Core 8 para acceso a datos y reglas de negocio.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Autenticación: JSON Web Tokens (JWT) mediante ASP.NET Core Authentication, con control de acceso por roles y cifrado seguro de credenciales.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6.3 Base de datos y almacenamiento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Base de datos central: PostgreSQL / Supabase.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Almacenamiento local offline en dispositivos móviles: SQLite (sqlite-net-pcl), con sincronización asíncrona hacia la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6.4 Infraestructura y servicios cloud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Hosting del backend: Microsoft Azure App Service. Base de datos central: PostgreSQL 16 alojado en Supabase Cloud.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Power BI Desktop y Power BI Service, para la construcción y publicación del dashboard ejecutivo.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6.5 Herramientas de gestión y control de calidad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Control de versiones: Git / GitHub, con flujo de ramas y revisión de código (pull requests).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Gestión ágil del proyecto: Trello, organizado mediante Product Backlog, Sprint Backlog y seguimiento por estados.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Pruebas de seguridad: OWASP ZAP y Nessus, para la mitigación de vulnerabilidades (SQLi, XSS, RLS).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Documentación técnica: Google Drive para entregables y evidencias, y GitHub para código y documentación técnica.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7. Estructura de Desglose de Trabajo (EDT) — 3 niveles</w:t>
      </w:r>
    </w:p>
    <w:p w:rsidR="00000000" w:rsidDel="00000000" w:rsidP="00000000" w:rsidRDefault="00000000" w:rsidRPr="00000000" w14:paraId="000000AF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El siguiente diagrama presenta la EDT de tres niveles: el proyecto AFRISAN (nivel 1), sus tres fases principales (nivel 2) y los paquetes de trabajo asociados a cada fase (nivel 3).</w:t>
      </w:r>
    </w:p>
    <w:p w:rsidR="00000000" w:rsidDel="00000000" w:rsidP="00000000" w:rsidRDefault="00000000" w:rsidRPr="00000000" w14:paraId="000000B0">
      <w:pPr>
        <w:spacing w:after="120" w:before="20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3343275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60" w:before="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4. Estructura de Desglose del Trabajo (EDT) de tres niveles.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7.1 Detalle del nivel 3 (paquetes de trabajo)</w:t>
      </w:r>
    </w:p>
    <w:p w:rsidR="00000000" w:rsidDel="00000000" w:rsidP="00000000" w:rsidRDefault="00000000" w:rsidRPr="00000000" w14:paraId="000000B3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La siguiente tabla detalla los paquetes de trabajo del nivel 3 asociados a las tres fases definidas para el proyecto.</w:t>
      </w:r>
    </w:p>
    <w:tbl>
      <w:tblPr>
        <w:tblStyle w:val="Table2"/>
        <w:tblW w:w="8899.0" w:type="dxa"/>
        <w:jc w:val="left"/>
        <w:tblInd w:w="-100.0" w:type="dxa"/>
        <w:tblLayout w:type="fixed"/>
        <w:tblLook w:val="0000"/>
      </w:tblPr>
      <w:tblGrid>
        <w:gridCol w:w="2200"/>
        <w:gridCol w:w="899"/>
        <w:gridCol w:w="2800"/>
        <w:gridCol w:w="3000"/>
        <w:tblGridChange w:id="0">
          <w:tblGrid>
            <w:gridCol w:w="2200"/>
            <w:gridCol w:w="899"/>
            <w:gridCol w:w="2800"/>
            <w:gridCol w:w="3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Fase (nivel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Paquete de trabajo (nivel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Entregable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1. Definición y 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Levantamiento de requerimientos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Requerimientos levantados y validados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1. Definición y 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Análisis de requerimientos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Especificación de requerimientos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1. Definición y 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Modelado de base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MER / DER del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1. Definición y 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Arquitectura de software 4+1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Arquitectura técnica y diagramas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1. Definición y 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Planificación inicial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Plan de trabajo y backlog inicial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Prototipado UI/UX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Prototipos de interfaces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Sprint 1: Backend, autenticación y módulo bodega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API base, autenticación y módulo bodega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Sprint 2: Módulo terreno y reglas de negocio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Módulo móvil/terreno funcional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Sprint 3: Reportería BI y motor de emisiones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Dashboard Power BI e indicadores CO2e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Pruebas QA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Informe de pruebas funcionales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Pruebas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Informe de pruebas de seguridad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2. Diseño y desarrollo ágil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Corrección de errores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Versión estabilizada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3. Implementación y cierre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3.1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Marcha blanca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Validación en ambiente de prueba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3. Implementación y cierre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3.2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Despliegue en producción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Sistema desplegado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3. Implementación y cierre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3.3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Elaboración de manual de usuario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Manual de usuario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3. Implementación y cierre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3.4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Elaboración de manual técnico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Manual técnico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3. Implementación y cierre</w:t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3.5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Informe final y cierre</w:t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Portafolio e informe final</w:t>
            </w:r>
          </w:p>
        </w:tc>
      </w:tr>
    </w:tbl>
    <w:p w:rsidR="00000000" w:rsidDel="00000000" w:rsidP="00000000" w:rsidRDefault="00000000" w:rsidRPr="00000000" w14:paraId="000000F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200" w:before="0" w:lineRule="auto"/>
        <w:rPr/>
      </w:pPr>
      <w:r w:rsidDel="00000000" w:rsidR="00000000" w:rsidRPr="00000000">
        <w:rPr>
          <w:rtl w:val="0"/>
        </w:rPr>
        <w:t xml:space="preserve">8. Apoyo a la factibilidad técnica</w:t>
      </w:r>
    </w:p>
    <w:p w:rsidR="00000000" w:rsidDel="00000000" w:rsidP="00000000" w:rsidRDefault="00000000" w:rsidRPr="00000000" w14:paraId="000000FE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Esta sección entrega un análisis preliminar de factibilidad técnica del proyecto, como apoyo a la evaluación de factibilidad general del Proyecto de Título.</w:t>
      </w:r>
    </w:p>
    <w:p w:rsidR="00000000" w:rsidDel="00000000" w:rsidP="00000000" w:rsidRDefault="00000000" w:rsidRPr="00000000" w14:paraId="000000FF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8.1 Factibilidad tecnológica</w:t>
      </w:r>
    </w:p>
    <w:p w:rsidR="00000000" w:rsidDel="00000000" w:rsidP="00000000" w:rsidRDefault="00000000" w:rsidRPr="00000000" w14:paraId="00000100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Las tecnologías seleccionadas —.NET MAUI, Blazor WebAssembly, ASP.NET Core Web API, Entity Framework Core, PostgreSQL/Supabase, SQLite, Azure App Service y Power BI— son tecnologías maduras, documentadas y compatibles entre sí. El uso predominante del ecosistema .NET reduce la complejidad de integración y el riesgo tecnológico.</w:t>
      </w:r>
    </w:p>
    <w:p w:rsidR="00000000" w:rsidDel="00000000" w:rsidP="00000000" w:rsidRDefault="00000000" w:rsidRPr="00000000" w14:paraId="00000101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8.2 Factibilidad de infraestructura</w:t>
      </w:r>
    </w:p>
    <w:p w:rsidR="00000000" w:rsidDel="00000000" w:rsidP="00000000" w:rsidRDefault="00000000" w:rsidRPr="00000000" w14:paraId="00000102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La solución propuesta no requiere infraestructura física adicional relevante por parte de AFRISAN: los dispositivos móviles y estaciones de trabajo ya existen o son de bajo costo de adquisición, y el backend/base de datos se aloja en servicios cloud gestionados, evitando la necesidad de servidores propios.</w:t>
      </w:r>
    </w:p>
    <w:p w:rsidR="00000000" w:rsidDel="00000000" w:rsidP="00000000" w:rsidRDefault="00000000" w:rsidRPr="00000000" w14:paraId="00000103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8.3 Factibilidad de integración y trabajo offline</w:t>
      </w:r>
    </w:p>
    <w:p w:rsidR="00000000" w:rsidDel="00000000" w:rsidP="00000000" w:rsidRDefault="00000000" w:rsidRPr="00000000" w14:paraId="00000104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El requisito de funcionamiento offline en la app móvil (RF-05, RNF-10) es técnicamente factible mediante SQLite local y sincronización diferida con la API REST. Se identifica como punto de atención el diseño de reglas de resolución de conflictos de sincronización (ver riesgo R4 del ERS).</w:t>
      </w:r>
    </w:p>
    <w:p w:rsidR="00000000" w:rsidDel="00000000" w:rsidP="00000000" w:rsidRDefault="00000000" w:rsidRPr="00000000" w14:paraId="00000105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8.4 Factibilidad de seguridad</w:t>
      </w:r>
    </w:p>
    <w:p w:rsidR="00000000" w:rsidDel="00000000" w:rsidP="00000000" w:rsidRDefault="00000000" w:rsidRPr="00000000" w14:paraId="00000106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El cumplimiento de mitigaciones OWASP (RNF-01, RNF-02) es alcanzable dentro del plazo del proyecto mediante prácticas estándar (autenticación con JWT, cifrado de contraseñas, HTTPS/TLS, validación de entradas) y la ejecución de pruebas de seguridad automatizadas (OWASP ZAP, Nessus) antes de la entrega.</w:t>
      </w:r>
    </w:p>
    <w:p w:rsidR="00000000" w:rsidDel="00000000" w:rsidP="00000000" w:rsidRDefault="00000000" w:rsidRPr="00000000" w14:paraId="00000107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8.5 Factibilidad respecto al equipo y al tiempo disponible</w:t>
      </w:r>
    </w:p>
    <w:p w:rsidR="00000000" w:rsidDel="00000000" w:rsidP="00000000" w:rsidRDefault="00000000" w:rsidRPr="00000000" w14:paraId="00000108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Dado que las debilidades declaradas por el equipo incluyen metodologías ágiles, levantamiento de requerimientos y planificación de tiempos, se considera necesario reforzar estas competencias durante la fase de análisis y diseño para asegurar que el alcance definido sea abordable dentro de la dedicación estimada de 8 a 12 horas semanales por integrante durante el segundo semestre académico.</w:t>
      </w:r>
    </w:p>
    <w:p w:rsidR="00000000" w:rsidDel="00000000" w:rsidP="00000000" w:rsidRDefault="00000000" w:rsidRPr="00000000" w14:paraId="00000109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8.6 Conclusión preliminar</w:t>
      </w:r>
    </w:p>
    <w:p w:rsidR="00000000" w:rsidDel="00000000" w:rsidP="00000000" w:rsidRDefault="00000000" w:rsidRPr="00000000" w14:paraId="0000010A">
      <w:pPr>
        <w:spacing w:after="160" w:before="0" w:line="276" w:lineRule="auto"/>
        <w:rPr/>
      </w:pPr>
      <w:r w:rsidDel="00000000" w:rsidR="00000000" w:rsidRPr="00000000">
        <w:rPr>
          <w:rtl w:val="0"/>
        </w:rPr>
        <w:t xml:space="preserve">En base a lo anterior, el proyecto se considera técnicamente factible si se mantiene el alcance definido en el ERS, se priorizan los módulos críticos de intervenciones, balance de masa/semáforo y sincronización offline, y se da seguimiento activo a los riesgos R1, R2 y R4.</w:t>
      </w: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F">
    <w:pPr>
      <w:jc w:val="center"/>
      <w:rPr/>
    </w:pPr>
    <w:r w:rsidDel="00000000" w:rsidR="00000000" w:rsidRPr="00000000">
      <w:rPr>
        <w:sz w:val="18"/>
        <w:szCs w:val="18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sz w:val="18"/>
        <w:szCs w:val="18"/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0">
    <w:pPr>
      <w:jc w:val="center"/>
      <w:rPr/>
    </w:pPr>
    <w:r w:rsidDel="00000000" w:rsidR="00000000" w:rsidRPr="00000000">
      <w:rPr>
        <w:sz w:val="18"/>
        <w:szCs w:val="18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sz w:val="18"/>
        <w:szCs w:val="18"/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jc w:val="right"/>
      <w:rPr/>
    </w:pPr>
    <w:r w:rsidDel="00000000" w:rsidR="00000000" w:rsidRPr="00000000">
      <w:rPr>
        <w:sz w:val="19"/>
        <w:szCs w:val="19"/>
      </w:rPr>
      <w:drawing>
        <wp:inline distB="114300" distT="114300" distL="114300" distR="114300">
          <wp:extent cx="2314575" cy="583883"/>
          <wp:effectExtent b="0" l="0" r="0" t="0"/>
          <wp:docPr id="1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14575" cy="58388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jc w:val="right"/>
      <w:rPr/>
    </w:pPr>
    <w:r w:rsidDel="00000000" w:rsidR="00000000" w:rsidRPr="00000000">
      <w:rPr>
        <w:color w:val="888888"/>
        <w:sz w:val="16"/>
        <w:szCs w:val="16"/>
        <w:rtl w:val="0"/>
      </w:rPr>
      <w:t xml:space="preserve">Arquitectura Técnica — APT AFRISAN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🌕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🌕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200" w:before="400" w:lineRule="auto"/>
    </w:pPr>
    <w:rPr>
      <w:rFonts w:ascii="Liberation Sans" w:cs="Liberation Sans" w:eastAsia="Liberation Sans" w:hAnsi="Liberation Sans"/>
      <w:b w:val="1"/>
      <w:bCs w:val="1"/>
      <w:color w:val="1f386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50" w:before="300" w:lineRule="auto"/>
    </w:pPr>
    <w:rPr>
      <w:rFonts w:ascii="Liberation Sans" w:cs="Liberation Sans" w:eastAsia="Liberation Sans" w:hAnsi="Liberation Sans"/>
      <w:b w:val="1"/>
      <w:bCs w:val="1"/>
      <w:color w:val="2e5395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100" w:before="200" w:lineRule="auto"/>
    </w:pPr>
    <w:rPr>
      <w:rFonts w:ascii="Liberation Sans" w:cs="Liberation Sans" w:eastAsia="Liberation Sans" w:hAnsi="Liberation Sans"/>
      <w:b w:val="1"/>
      <w:bCs w:val="1"/>
      <w:i w:val="1"/>
      <w:iCs w:val="1"/>
      <w:color w:val="2e5395"/>
      <w:sz w:val="23"/>
      <w:szCs w:val="23"/>
    </w:rPr>
  </w:style>
  <w:style w:type="paragraph" w:styleId="Heading4">
    <w:name w:val="heading 4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i w:val="1"/>
      <w:iCs w:val="1"/>
      <w:color w:val="2e74b5"/>
      <w:sz w:val="28"/>
      <w:szCs w:val="28"/>
    </w:rPr>
  </w:style>
  <w:style w:type="paragraph" w:styleId="Heading5">
    <w:name w:val="heading 5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28"/>
      <w:szCs w:val="28"/>
    </w:rPr>
  </w:style>
  <w:style w:type="paragraph" w:styleId="Heading6">
    <w:name w:val="heading 6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1f4d78"/>
      <w:sz w:val="28"/>
      <w:szCs w:val="28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56"/>
      <w:szCs w:val="56"/>
    </w:rPr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Characters">
    <w:name w:val="Footnote Characters"/>
    <w:uiPriority w:val="99"/>
    <w:semiHidden w:val="1"/>
    <w:unhideWhenUsed w:val="1"/>
    <w:qFormat w:val="1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 w:val="1"/>
    <w:unhideWhenUsed w:val="1"/>
    <w:qFormat w:val="1"/>
    <w:rPr>
      <w:sz w:val="20"/>
      <w:szCs w:val="20"/>
    </w:rPr>
  </w:style>
  <w:style w:type="character" w:styleId="EndnoteCharacters">
    <w:name w:val="Endnote Characters"/>
    <w:uiPriority w:val="99"/>
    <w:semiHidden w:val="1"/>
    <w:unhideWhenUsed w:val="1"/>
    <w:qFormat w:val="1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 w:val="1"/>
    <w:unhideWhenUsed w:val="1"/>
    <w:qFormat w:val="1"/>
    <w:rPr>
      <w:sz w:val="20"/>
      <w:szCs w:val="20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ohit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Lohit Devanagari"/>
    </w:rPr>
  </w:style>
  <w:style w:type="paragraph" w:styleId="StrongEmphasis">
    <w:name w:val="Strong Emphasis"/>
    <w:qFormat w:val="1"/>
    <w:pPr>
      <w:widowControl w:val="1"/>
      <w:bidi w:val="0"/>
      <w:spacing w:after="0" w:before="0"/>
      <w:jc w:val="left"/>
    </w:pPr>
    <w:rPr>
      <w:rFonts w:ascii="Calibri" w:cs="Calibri" w:eastAsia="Calibri" w:hAnsi="Calibri"/>
      <w:b w:val="1"/>
      <w:bCs w:val="1"/>
      <w:color w:val="auto"/>
      <w:kern w:val="0"/>
      <w:sz w:val="22"/>
      <w:szCs w:val="22"/>
      <w:lang w:bidi="hi-IN" w:eastAsia="zh-CN" w:val="en-US"/>
    </w:rPr>
  </w:style>
  <w:style w:type="paragraph" w:styleId="ListParagraph">
    <w:name w:val="List Paragraph"/>
    <w:qFormat w:val="1"/>
    <w:pPr>
      <w:widowControl w:val="1"/>
      <w:bidi w:val="0"/>
      <w:spacing w:after="0" w:before="0"/>
      <w:jc w:val="left"/>
    </w:pPr>
    <w:rPr>
      <w:rFonts w:ascii="Calibri" w:cs="Calibri" w:eastAsia="Calibri" w:hAnsi="Calibri"/>
      <w:color w:val="auto"/>
      <w:kern w:val="0"/>
      <w:sz w:val="22"/>
      <w:szCs w:val="22"/>
      <w:lang w:bidi="hi-IN" w:eastAsia="zh-CN" w:val="en-US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before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before="0" w:line="240" w:lineRule="auto"/>
    </w:pPr>
    <w:rPr>
      <w:sz w:val="20"/>
      <w:szCs w:val="20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80.0" w:type="dxa"/>
        <w:left w:w="100.0" w:type="dxa"/>
        <w:bottom w:w="8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80.0" w:type="dxa"/>
        <w:left w:w="100.0" w:type="dxa"/>
        <w:bottom w:w="8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CIlrTLVEilLNiBpTuhIkcYA7bg==">CgMxLjA4AHIhMTV0Vm1nUnBzQVMzQWRpOEdoaVNiZ2x5cl8ydVpLaEVN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2026-08-28T18:44:27Z</dcterms:created>
  <dc:creator>Un-named</dc:creator>
</cp:coreProperties>
</file>