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60"/>
        <w:jc w:val="center"/>
      </w:pPr>
      <w:r>
        <w:rPr>
          <w:rFonts w:ascii="Aptos Display" w:hAnsi="Aptos Display"/>
          <w:b/>
          <w:color w:val="006C78"/>
          <w:sz w:val="70"/>
        </w:rPr>
        <w:t>AFRISAN</w:t>
      </w:r>
    </w:p>
    <w:p>
      <w:pPr>
        <w:jc w:val="center"/>
      </w:pPr>
      <w:r>
        <w:rPr>
          <w:b/>
          <w:color w:val="132D40"/>
          <w:sz w:val="40"/>
        </w:rPr>
        <w:t>Evaluación arquitectónica ATAM – Fase 1</w:t>
      </w:r>
    </w:p>
    <w:p>
      <w:pPr>
        <w:jc w:val="center"/>
      </w:pPr>
      <w:r>
        <w:rPr>
          <w:color w:val="526370"/>
          <w:sz w:val="22"/>
        </w:rPr>
        <w:t>Escenarios de calidad, decisiones de diseño y riesgos de la arquitectura propuesta</w:t>
      </w:r>
    </w:p>
    <w:p>
      <w:pPr>
        <w:spacing w:before="480"/>
        <w:jc w:val="center"/>
      </w:pPr>
      <w:r>
        <w:rPr>
          <w:sz w:val="22"/>
        </w:rPr>
        <w:t>Estado: evaluación preliminar de diseño – Fase 1</w:t>
        <w:br/>
        <w:t>Corte documental: septiembre de 2026</w:t>
        <w:br/>
        <w:t>Arquitectura candidata: Blazor WebAssembly · ASP.NET Core Web API · PostgreSQL / Supabase</w:t>
      </w:r>
      <w:r>
        <w:rPr>
          <w:sz w:val="22"/>
        </w:rPr>
      </w:r>
      <w:r>
        <w:rPr>
          <w:sz w:val="22"/>
        </w:rPr>
      </w:r>
    </w:p>
    <w:p>
      <w:pPr>
        <w:spacing w:before="700"/>
        <w:jc w:val="center"/>
      </w:pPr>
      <w:r>
        <w:rPr>
          <w:i/>
          <w:color w:val="526370"/>
          <w:sz w:val="18"/>
        </w:rPr>
        <w:t>Base del documento: arquitectura y requisitos propuestos para AFRISAN en la Fase 1. Este análisis no constituye evidencia de desarrollo, ejecución de pruebas, puesta en producción ni cumplimiento medido de atributos de calidad.</w:t>
      </w:r>
    </w:p>
    <w:p>
      <w:r>
        <w:br w:type="page"/>
      </w:r>
    </w:p>
    <w:p>
      <w:pPr>
        <w:pStyle w:val="Heading1"/>
      </w:pPr>
      <w:r>
        <w:t>Resumen ejecutivo</w:t>
      </w:r>
    </w:p>
    <w:p>
      <w:r>
        <w:t>Este informe aplica ATAM como evaluación de diseño para la Fase 1 de AFRISAN. Examina la arquitectura candidata frente a escenarios de integridad del inventario, trazabilidad, seguridad, acceso móvil, disponibilidad, recuperabilidad y evolución del sistema. El objetivo es anticipar riesgos, identificar compromisos y dejar decisiones técnicas y pruebas previstas para las fases siguientes; no se evalúa un producto implementado.</w:t>
      </w:r>
    </w:p>
    <w:p>
      <w:r>
        <w:t>La evidencia utilizada en esta fase es documental: objetivos del negocio, requisitos, arquitectura candidata y escenarios de calidad. Las respuestas y medidas descritas son criterios de aceptación propuestos, no resultados obtenidos. Los procedimientos de verificación se planifican para la implementación y las pruebas posteriores.</w:t>
      </w:r>
    </w:p>
    <w:p>
      <w:r>
        <w:t>La arquitectura candidata separa la presentación web Blazor WebAssembly, la API REST ASP.NET Core y la persistencia PostgreSQL/Supabase. El análisis identifica como decisiones a especificar la generación y unicidad de códigos, la atomicidad de movimientos, la autorización por rol y el registro de auditoría. Los componentes futuros del alcance documental deben contrastarse con escenarios específicos antes de fijar sus mecanismos.</w:t>
      </w:r>
    </w:p>
    <w:p>
      <w:pPr>
        <w:pStyle w:val="Heading2"/>
      </w:pPr>
      <w:r>
        <w:t>Ficha de control del informe</w:t>
      </w:r>
    </w:p>
    <w:tbl>
      <w:tblPr>
        <w:tblStyle w:val="TableGrid"/>
        <w:tblW w:type="auto" w:w="0"/>
        <w:jc w:val="center"/>
        <w:tblLayout w:type="fixed"/>
        <w:tblLook w:firstColumn="1" w:firstRow="1" w:lastColumn="0" w:lastRow="0" w:noHBand="0" w:noVBand="1" w:val="04A0"/>
      </w:tblPr>
      <w:tblGrid>
        <w:gridCol w:w="2324"/>
        <w:gridCol w:w="6860"/>
      </w:tblGrid>
      <w:tr>
        <w:trPr>
          <w:tblHeader w:val="true"/>
        </w:trPr>
        <w:tc>
          <w:tcPr>
            <w:tcW w:type="dxa" w:w="4677"/>
            <w:vAlign w:val="center"/>
            <w:shd w:fill="18485A"/>
          </w:tcPr>
          <w:p>
            <w:pPr>
              <w:spacing w:after="0"/>
            </w:pPr>
            <w:r>
              <w:rPr>
                <w:b/>
                <w:color w:val="FFFFFF"/>
                <w:sz w:val="17"/>
              </w:rPr>
              <w:t>Elemento</w:t>
            </w:r>
          </w:p>
        </w:tc>
        <w:tc>
          <w:tcPr>
            <w:tcW w:type="dxa" w:w="4677"/>
            <w:vAlign w:val="center"/>
            <w:shd w:fill="18485A"/>
          </w:tcPr>
          <w:p>
            <w:pPr>
              <w:spacing w:after="0"/>
            </w:pPr>
            <w:r>
              <w:rPr>
                <w:b/>
                <w:color w:val="FFFFFF"/>
                <w:sz w:val="17"/>
              </w:rPr>
              <w:t>Registro</w:t>
            </w:r>
          </w:p>
        </w:tc>
      </w:tr>
      <w:tr>
        <w:trPr>
          <w:cantSplit/>
        </w:trPr>
        <w:tc>
          <w:tcPr>
            <w:tcW w:type="dxa" w:w="2324"/>
            <w:vAlign w:val="top"/>
          </w:tcPr>
          <w:p>
            <w:pPr>
              <w:spacing w:after="40" w:before="20" w:line="252" w:lineRule="auto"/>
            </w:pPr>
            <w:r>
              <w:rPr>
                <w:sz w:val="17"/>
              </w:rPr>
              <w:t>Método</w:t>
            </w:r>
          </w:p>
        </w:tc>
        <w:tc>
          <w:tcPr>
            <w:tcW w:type="dxa" w:w="6860"/>
            <w:vAlign w:val="top"/>
          </w:tcPr>
          <w:p>
            <w:pPr>
              <w:spacing w:after="40" w:before="20" w:line="252" w:lineRule="auto"/>
            </w:pPr>
            <w:r>
              <w:rPr>
                <w:sz w:val="17"/>
              </w:rPr>
              <w:t>Architecture Tradeoff Analysis Method (ATAM), nueve pasos.</w:t>
            </w:r>
          </w:p>
        </w:tc>
      </w:tr>
      <w:tr>
        <w:trPr>
          <w:cantSplit/>
        </w:trPr>
        <w:tc>
          <w:tcPr>
            <w:tcW w:type="dxa" w:w="2324"/>
            <w:vAlign w:val="top"/>
            <w:shd w:fill="F3F7F8"/>
          </w:tcPr>
          <w:p>
            <w:pPr>
              <w:spacing w:after="40" w:before="20" w:line="252" w:lineRule="auto"/>
            </w:pPr>
            <w:r>
              <w:rPr>
                <w:sz w:val="17"/>
              </w:rPr>
              <w:t>Corte temporal</w:t>
            </w:r>
          </w:p>
        </w:tc>
        <w:tc>
          <w:tcPr>
            <w:tcW w:type="dxa" w:w="6860"/>
            <w:vAlign w:val="top"/>
            <w:shd w:fill="F3F7F8"/>
          </w:tcPr>
          <w:p>
            <w:pPr>
              <w:spacing w:after="40" w:before="20" w:line="252" w:lineRule="auto"/>
            </w:pPr>
            <w:r>
              <w:rPr>
                <w:sz w:val="17"/>
              </w:rPr>
              <w:t>Septiembre de 2026.</w:t>
            </w:r>
          </w:p>
        </w:tc>
      </w:tr>
      <w:tr>
        <w:trPr>
          <w:cantSplit/>
        </w:trPr>
        <w:tc>
          <w:tcPr>
            <w:tcW w:type="dxa" w:w="2324"/>
            <w:vAlign w:val="top"/>
          </w:tcPr>
          <w:p>
            <w:pPr>
              <w:spacing w:after="40" w:before="20" w:line="252" w:lineRule="auto"/>
            </w:pPr>
            <w:r>
              <w:rPr>
                <w:sz w:val="17"/>
              </w:rPr>
              <w:t>Alcance actual</w:t>
            </w:r>
          </w:p>
        </w:tc>
        <w:tc>
          <w:tcPr>
            <w:tcW w:type="dxa" w:w="6860"/>
            <w:vAlign w:val="top"/>
          </w:tcPr>
          <w:p>
            <w:pPr>
              <w:spacing w:after="40" w:before="20" w:line="252" w:lineRule="auto"/>
            </w:pPr>
            <w:r>
              <w:rPr>
                <w:sz w:val="17"/>
              </w:rPr>
              <w:t>Arquitectura propuesta de Fase 1: interfaz web Blazor WebAssembly, API ASP.NET Core, PostgreSQL/Supabase y funciones de inventario, movimientos y consulta QR definidas como alcance.</w:t>
            </w:r>
          </w:p>
        </w:tc>
      </w:tr>
      <w:tr>
        <w:trPr>
          <w:cantSplit/>
        </w:trPr>
        <w:tc>
          <w:tcPr>
            <w:tcW w:type="dxa" w:w="2324"/>
            <w:vAlign w:val="top"/>
            <w:shd w:fill="F3F7F8"/>
          </w:tcPr>
          <w:p>
            <w:pPr>
              <w:spacing w:after="40" w:before="20" w:line="252" w:lineRule="auto"/>
            </w:pPr>
            <w:r>
              <w:rPr>
                <w:sz w:val="17"/>
              </w:rPr>
              <w:t>Fuera de alcance validado</w:t>
            </w:r>
          </w:p>
        </w:tc>
        <w:tc>
          <w:tcPr>
            <w:tcW w:type="dxa" w:w="6860"/>
            <w:vAlign w:val="top"/>
            <w:shd w:fill="F3F7F8"/>
          </w:tcPr>
          <w:p>
            <w:pPr>
              <w:spacing w:after="40" w:before="20" w:line="252" w:lineRule="auto"/>
            </w:pPr>
            <w:r>
              <w:rPr>
                <w:sz w:val="17"/>
              </w:rPr>
              <w:t>Fuera del diseño verificable de esta fase: funcionamiento operativo, pruebas de carga, accesibilidad móvil medida, restauración, seguridad probada, sincronización offline y despliegue real.</w:t>
            </w:r>
          </w:p>
        </w:tc>
      </w:tr>
      <w:tr>
        <w:trPr>
          <w:cantSplit/>
        </w:trPr>
        <w:tc>
          <w:tcPr>
            <w:tcW w:type="dxa" w:w="2324"/>
            <w:vAlign w:val="top"/>
          </w:tcPr>
          <w:p>
            <w:pPr>
              <w:spacing w:after="40" w:before="20" w:line="252" w:lineRule="auto"/>
            </w:pPr>
            <w:r>
              <w:rPr>
                <w:sz w:val="17"/>
              </w:rPr>
              <w:t>Origen de datos</w:t>
            </w:r>
          </w:p>
        </w:tc>
        <w:tc>
          <w:tcPr>
            <w:tcW w:type="dxa" w:w="6860"/>
            <w:vAlign w:val="top"/>
          </w:tcPr>
          <w:p>
            <w:pPr>
              <w:spacing w:after="40" w:before="20" w:line="252" w:lineRule="auto"/>
            </w:pPr>
            <w:r>
              <w:rPr>
                <w:sz w:val="17"/>
              </w:rPr>
              <w:t>Fuente de análisis: propuesta arquitectónica y requisitos de AFRISAN para Fase 1. La ejecución y evidencia de laboratorio quedan programadas para fases posteriores.</w:t>
            </w:r>
          </w:p>
        </w:tc>
      </w:tr>
      <w:tr>
        <w:trPr>
          <w:cantSplit/>
        </w:trPr>
        <w:tc>
          <w:tcPr>
            <w:tcW w:type="dxa" w:w="2324"/>
            <w:vAlign w:val="top"/>
            <w:shd w:fill="F3F7F8"/>
          </w:tcPr>
          <w:p>
            <w:pPr>
              <w:spacing w:after="40" w:before="20" w:line="252" w:lineRule="auto"/>
            </w:pPr>
            <w:r>
              <w:rPr>
                <w:sz w:val="17"/>
              </w:rPr>
              <w:t>Convención de estados</w:t>
            </w:r>
          </w:p>
        </w:tc>
        <w:tc>
          <w:tcPr>
            <w:tcW w:type="dxa" w:w="6860"/>
            <w:vAlign w:val="top"/>
            <w:shd w:fill="F3F7F8"/>
          </w:tcPr>
          <w:p>
            <w:pPr>
              <w:spacing w:after="40" w:before="20" w:line="252" w:lineRule="auto"/>
            </w:pPr>
            <w:r>
              <w:rPr>
                <w:sz w:val="17"/>
              </w:rPr>
              <w:t>D = decisión propuesta; R = riesgo de diseño; V = verificación posterior; A = aspecto por acordar con interesados.</w:t>
            </w:r>
          </w:p>
        </w:tc>
      </w:tr>
    </w:tbl>
    <w:p>
      <w:pPr>
        <w:spacing w:after="20"/>
      </w:pPr>
    </w:p>
    <w:p>
      <w:pPr>
        <w:pStyle w:val="Heading2"/>
      </w:pPr>
      <w:r>
        <w:t>Cómo interpretar este documento</w:t>
      </w:r>
    </w:p>
    <w:p>
      <w:r>
        <w:t>Los umbrales cuantitativos son criterios de aceptación propuestos para aprobar con los interesados; no representan acuerdos ya suscritos ni mediciones. Las prioridades expresan una hipótesis de trabajo del equipo y deben ratificarse en una sesión ATAM cuando corresponda.</w:t>
      </w:r>
    </w:p>
    <w:p>
      <w:pPr>
        <w:pStyle w:val="Heading1"/>
      </w:pPr>
      <w:r>
        <w:t>Fase 0. Preparación de la evaluación</w:t>
      </w:r>
    </w:p>
    <w:p>
      <w:r>
        <w:rPr>
          <w:b/>
        </w:rPr>
        <w:t xml:space="preserve">Propósito. </w:t>
      </w:r>
      <w:r>
        <w:t>Definir objetivos, interesados, requisitos arquitectónicamente significativos, restricciones y material de diseño para la evaluación prospectiva de Fase 1.</w:t>
      </w:r>
    </w:p>
    <w:p>
      <w:r>
        <w:rPr>
          <w:b/>
        </w:rPr>
        <w:t xml:space="preserve">Material de entrada previsto: </w:t>
      </w:r>
      <w:r>
        <w:t>requisitos de AFRISAN, alcance de Fase 1, arquitectura candidata y sus vistas de contexto, componentes, datos y despliegue. Material a completar: acuerdos sobre los atributos de calidad, reglas de pesaje y formatos de identificación; actas de los interesados y protocolos de verificación para fases posteriores.</w:t>
      </w:r>
    </w:p>
    <w:p>
      <w:r>
        <w:rPr>
          <w:b/>
        </w:rPr>
        <w:t xml:space="preserve">Interesados por convocar. </w:t>
      </w:r>
      <w:r>
        <w:t>Responsable del proyecto; representantes de bodega y operaciones; responsables de API, interfaz, datos y seguridad; representantes de calidad y evaluación. La composición, la fecha y los acuerdos de la sesión se registrarán cuando esta se realice.</w:t>
      </w:r>
    </w:p>
    <w:p>
      <w:r>
        <w:rPr>
          <w:b/>
        </w:rPr>
        <w:t xml:space="preserve">Decisión de alcance. </w:t>
      </w:r>
      <w:r>
        <w:t>Este documento es una evaluación de arquitectura propuesta en Fase 1. No declara ejecución integral de ATAM ni pruebas funcionales; los escenarios priorizados y los hallazgos deben validarse con interesados y, posteriormente, frente a la implementación.</w:t>
      </w:r>
    </w:p>
    <w:p>
      <w:pPr>
        <w:pStyle w:val="Heading1"/>
      </w:pPr>
      <w:r>
        <w:t>Paso 1. Presentar ATAM</w:t>
      </w:r>
    </w:p>
    <w:p>
      <w:r>
        <w:t>ATAM es una evaluación basada en escenarios que relaciona objetivos del sistema, atributos de calidad y decisiones arquitectónicas para identificar riesgos, no riesgos, puntos de sensibilidad, puntos de compromiso y temas de riesgo. Los pasos 1–6 constituyen la primera ronda centrada en el equipo técnico; los pasos 7–9 incorporan la visión ampliada de los interesados y el cierre.</w:t>
      </w:r>
    </w:p>
    <w:tbl>
      <w:tblPr>
        <w:tblStyle w:val="TableGrid"/>
        <w:tblW w:type="auto" w:w="0"/>
        <w:jc w:val="center"/>
        <w:tblLayout w:type="fixed"/>
        <w:tblLook w:firstColumn="1" w:firstRow="1" w:lastColumn="0" w:lastRow="0" w:noHBand="0" w:noVBand="1" w:val="04A0"/>
      </w:tblPr>
      <w:tblGrid>
        <w:gridCol w:w="2381"/>
        <w:gridCol w:w="6803"/>
      </w:tblGrid>
      <w:tr>
        <w:trPr>
          <w:tblHeader w:val="true"/>
        </w:trPr>
        <w:tc>
          <w:tcPr>
            <w:tcW w:type="dxa" w:w="4677"/>
            <w:vAlign w:val="center"/>
            <w:shd w:fill="18485A"/>
          </w:tcPr>
          <w:p>
            <w:pPr>
              <w:spacing w:after="0"/>
            </w:pPr>
            <w:r>
              <w:rPr>
                <w:b/>
                <w:color w:val="FFFFFF"/>
                <w:sz w:val="17"/>
              </w:rPr>
              <w:t>Punto comunicado</w:t>
            </w:r>
          </w:p>
        </w:tc>
        <w:tc>
          <w:tcPr>
            <w:tcW w:type="dxa" w:w="4677"/>
            <w:vAlign w:val="center"/>
            <w:shd w:fill="18485A"/>
          </w:tcPr>
          <w:p>
            <w:pPr>
              <w:spacing w:after="0"/>
            </w:pPr>
            <w:r>
              <w:rPr>
                <w:b/>
                <w:color w:val="FFFFFF"/>
                <w:sz w:val="17"/>
              </w:rPr>
              <w:t>Aplicación en AFRISAN</w:t>
            </w:r>
          </w:p>
        </w:tc>
      </w:tr>
      <w:tr>
        <w:trPr>
          <w:cantSplit/>
        </w:trPr>
        <w:tc>
          <w:tcPr>
            <w:tcW w:type="dxa" w:w="2381"/>
            <w:vAlign w:val="top"/>
          </w:tcPr>
          <w:p>
            <w:pPr>
              <w:spacing w:after="40" w:before="20" w:line="252" w:lineRule="auto"/>
            </w:pPr>
            <w:r>
              <w:rPr>
                <w:sz w:val="17"/>
              </w:rPr>
              <w:t>Objeto</w:t>
            </w:r>
          </w:p>
        </w:tc>
        <w:tc>
          <w:tcPr>
            <w:tcW w:type="dxa" w:w="6803"/>
            <w:vAlign w:val="top"/>
          </w:tcPr>
          <w:p>
            <w:pPr>
              <w:spacing w:after="40" w:before="20" w:line="252" w:lineRule="auto"/>
            </w:pPr>
            <w:r>
              <w:rPr>
                <w:sz w:val="17"/>
              </w:rPr>
              <w:t>Evaluar la arquitectura candidata frente a escenarios de calidad y objetivos del negocio; definir cómo se verificará cada decisión en fases posteriores.</w:t>
            </w:r>
          </w:p>
        </w:tc>
      </w:tr>
      <w:tr>
        <w:trPr>
          <w:cantSplit/>
        </w:trPr>
        <w:tc>
          <w:tcPr>
            <w:tcW w:type="dxa" w:w="2381"/>
            <w:vAlign w:val="top"/>
            <w:shd w:fill="F3F7F8"/>
          </w:tcPr>
          <w:p>
            <w:pPr>
              <w:spacing w:after="40" w:before="20" w:line="252" w:lineRule="auto"/>
            </w:pPr>
            <w:r>
              <w:rPr>
                <w:sz w:val="17"/>
              </w:rPr>
              <w:t>Técnicas</w:t>
            </w:r>
          </w:p>
        </w:tc>
        <w:tc>
          <w:tcPr>
            <w:tcW w:type="dxa" w:w="6803"/>
            <w:vAlign w:val="top"/>
            <w:shd w:fill="F3F7F8"/>
          </w:tcPr>
          <w:p>
            <w:pPr>
              <w:spacing w:after="40" w:before="20" w:line="252" w:lineRule="auto"/>
            </w:pPr>
            <w:r>
              <w:rPr>
                <w:sz w:val="17"/>
              </w:rPr>
              <w:t>Árbol de utilidad preliminar, escenarios de seis elementos, recorrido lógico de componentes, identificación de riesgos y compromisos, y matriz de evidencias previstas.</w:t>
            </w:r>
          </w:p>
        </w:tc>
      </w:tr>
      <w:tr>
        <w:trPr>
          <w:cantSplit/>
        </w:trPr>
        <w:tc>
          <w:tcPr>
            <w:tcW w:type="dxa" w:w="2381"/>
            <w:vAlign w:val="top"/>
          </w:tcPr>
          <w:p>
            <w:pPr>
              <w:spacing w:after="40" w:before="20" w:line="252" w:lineRule="auto"/>
            </w:pPr>
            <w:r>
              <w:rPr>
                <w:sz w:val="17"/>
              </w:rPr>
              <w:t>Entregables</w:t>
            </w:r>
          </w:p>
        </w:tc>
        <w:tc>
          <w:tcPr>
            <w:tcW w:type="dxa" w:w="6803"/>
            <w:vAlign w:val="top"/>
          </w:tcPr>
          <w:p>
            <w:pPr>
              <w:spacing w:after="40" w:before="20" w:line="252" w:lineRule="auto"/>
            </w:pPr>
            <w:r>
              <w:rPr>
                <w:sz w:val="17"/>
              </w:rPr>
              <w:t>Escenarios propuestos, decisiones arquitectónicas justificadas, riesgos y compromisos, acciones de mitigación y plan de validación posterior.</w:t>
            </w:r>
          </w:p>
        </w:tc>
      </w:tr>
      <w:tr>
        <w:trPr>
          <w:cantSplit/>
        </w:trPr>
        <w:tc>
          <w:tcPr>
            <w:tcW w:type="dxa" w:w="2381"/>
            <w:vAlign w:val="top"/>
            <w:shd w:fill="F3F7F8"/>
          </w:tcPr>
          <w:p>
            <w:pPr>
              <w:spacing w:after="40" w:before="20" w:line="252" w:lineRule="auto"/>
            </w:pPr>
            <w:r>
              <w:rPr>
                <w:sz w:val="17"/>
              </w:rPr>
              <w:t>Reglas</w:t>
            </w:r>
          </w:p>
        </w:tc>
        <w:tc>
          <w:tcPr>
            <w:tcW w:type="dxa" w:w="6803"/>
            <w:vAlign w:val="top"/>
            <w:shd w:fill="F3F7F8"/>
          </w:tcPr>
          <w:p>
            <w:pPr>
              <w:spacing w:after="40" w:before="20" w:line="252" w:lineRule="auto"/>
            </w:pPr>
            <w:r>
              <w:rPr>
                <w:sz w:val="17"/>
              </w:rPr>
              <w:t>No afirmar funcionalidades implementadas, requisitos satisfechos ni pruebas ejecutadas durante Fase 1; separar evaluación del diseño y validación futura.</w:t>
            </w:r>
          </w:p>
        </w:tc>
      </w:tr>
    </w:tbl>
    <w:p>
      <w:pPr>
        <w:spacing w:after="20"/>
      </w:pPr>
    </w:p>
    <w:p>
      <w:r>
        <w:t>Estado del paso 1: método descrito para la evaluación documental de Fase 1; la presentación formal a interesados queda programada.</w:t>
      </w:r>
    </w:p>
    <w:p>
      <w:pPr>
        <w:pStyle w:val="Heading1"/>
      </w:pPr>
      <w:r>
        <w:t>Paso 2. Presentar objetivos del negocio y restricciones</w:t>
      </w:r>
    </w:p>
    <w:tbl>
      <w:tblPr>
        <w:tblStyle w:val="TableGrid"/>
        <w:tblW w:type="auto" w:w="0"/>
        <w:jc w:val="center"/>
        <w:tblLayout w:type="fixed"/>
        <w:tblLook w:firstColumn="1" w:firstRow="1" w:lastColumn="0" w:lastRow="0" w:noHBand="0" w:noVBand="1" w:val="04A0"/>
      </w:tblPr>
      <w:tblGrid>
        <w:gridCol w:w="1134"/>
        <w:gridCol w:w="3912"/>
        <w:gridCol w:w="4139"/>
      </w:tblGrid>
      <w:tr>
        <w:trPr>
          <w:tblHeader w:val="true"/>
        </w:trPr>
        <w:tc>
          <w:tcPr>
            <w:tcW w:type="dxa" w:w="3118"/>
            <w:vAlign w:val="center"/>
            <w:shd w:fill="18485A"/>
          </w:tcPr>
          <w:p>
            <w:pPr>
              <w:spacing w:after="0"/>
            </w:pPr>
            <w:r>
              <w:rPr>
                <w:b/>
                <w:color w:val="FFFFFF"/>
                <w:sz w:val="16"/>
              </w:rPr>
              <w:t>ID</w:t>
            </w:r>
          </w:p>
        </w:tc>
        <w:tc>
          <w:tcPr>
            <w:tcW w:type="dxa" w:w="3118"/>
            <w:vAlign w:val="center"/>
            <w:shd w:fill="18485A"/>
          </w:tcPr>
          <w:p>
            <w:pPr>
              <w:spacing w:after="0"/>
            </w:pPr>
            <w:r>
              <w:rPr>
                <w:b/>
                <w:color w:val="FFFFFF"/>
                <w:sz w:val="16"/>
              </w:rPr>
              <w:t>Objetivo o restricción</w:t>
            </w:r>
          </w:p>
        </w:tc>
        <w:tc>
          <w:tcPr>
            <w:tcW w:type="dxa" w:w="3118"/>
            <w:vAlign w:val="center"/>
            <w:shd w:fill="18485A"/>
          </w:tcPr>
          <w:p>
            <w:pPr>
              <w:spacing w:after="0"/>
            </w:pPr>
            <w:r>
              <w:rPr>
                <w:b/>
                <w:color w:val="FFFFFF"/>
                <w:sz w:val="16"/>
              </w:rPr>
              <w:t>Implicancia arquitectónica</w:t>
            </w:r>
          </w:p>
        </w:tc>
      </w:tr>
      <w:tr>
        <w:trPr>
          <w:cantSplit/>
        </w:trPr>
        <w:tc>
          <w:tcPr>
            <w:tcW w:type="dxa" w:w="1134"/>
            <w:vAlign w:val="top"/>
          </w:tcPr>
          <w:p>
            <w:pPr>
              <w:spacing w:after="40" w:before="20" w:line="252" w:lineRule="auto"/>
            </w:pPr>
            <w:r>
              <w:rPr>
                <w:sz w:val="16"/>
              </w:rPr>
              <w:t>ON-01</w:t>
            </w:r>
          </w:p>
        </w:tc>
        <w:tc>
          <w:tcPr>
            <w:tcW w:type="dxa" w:w="3912"/>
            <w:vAlign w:val="top"/>
          </w:tcPr>
          <w:p>
            <w:pPr>
              <w:spacing w:after="40" w:before="20" w:line="252" w:lineRule="auto"/>
            </w:pPr>
            <w:r>
              <w:rPr>
                <w:sz w:val="16"/>
              </w:rPr>
              <w:t>Gestionar cada cilindro con una identificación única.</w:t>
            </w:r>
          </w:p>
        </w:tc>
        <w:tc>
          <w:tcPr>
            <w:tcW w:type="dxa" w:w="4139"/>
            <w:vAlign w:val="top"/>
          </w:tcPr>
          <w:p>
            <w:pPr>
              <w:spacing w:after="40" w:before="20" w:line="252" w:lineRule="auto"/>
            </w:pPr>
            <w:r>
              <w:rPr>
                <w:sz w:val="16"/>
              </w:rPr>
              <w:t>Mecanismo de generación de código y restricción de unicidad persistente.</w:t>
            </w:r>
          </w:p>
        </w:tc>
      </w:tr>
      <w:tr>
        <w:trPr>
          <w:cantSplit/>
        </w:trPr>
        <w:tc>
          <w:tcPr>
            <w:tcW w:type="dxa" w:w="1134"/>
            <w:vAlign w:val="top"/>
            <w:shd w:fill="F3F7F8"/>
          </w:tcPr>
          <w:p>
            <w:pPr>
              <w:spacing w:after="40" w:before="20" w:line="252" w:lineRule="auto"/>
            </w:pPr>
            <w:r>
              <w:rPr>
                <w:sz w:val="16"/>
              </w:rPr>
              <w:t>ON-02</w:t>
            </w:r>
          </w:p>
        </w:tc>
        <w:tc>
          <w:tcPr>
            <w:tcW w:type="dxa" w:w="3912"/>
            <w:vAlign w:val="top"/>
            <w:shd w:fill="F3F7F8"/>
          </w:tcPr>
          <w:p>
            <w:pPr>
              <w:spacing w:after="40" w:before="20" w:line="252" w:lineRule="auto"/>
            </w:pPr>
            <w:r>
              <w:rPr>
                <w:sz w:val="16"/>
              </w:rPr>
              <w:t>Controlar despacho, retorno y estado actual del cilindro.</w:t>
            </w:r>
          </w:p>
        </w:tc>
        <w:tc>
          <w:tcPr>
            <w:tcW w:type="dxa" w:w="4139"/>
            <w:vAlign w:val="top"/>
            <w:shd w:fill="F3F7F8"/>
          </w:tcPr>
          <w:p>
            <w:pPr>
              <w:spacing w:after="40" w:before="20" w:line="252" w:lineRule="auto"/>
            </w:pPr>
            <w:r>
              <w:rPr>
                <w:sz w:val="16"/>
              </w:rPr>
              <w:t>Invariantes de dominio y persistencia transaccional para los movimientos.</w:t>
            </w:r>
          </w:p>
        </w:tc>
      </w:tr>
      <w:tr>
        <w:trPr>
          <w:cantSplit/>
        </w:trPr>
        <w:tc>
          <w:tcPr>
            <w:tcW w:type="dxa" w:w="1134"/>
            <w:vAlign w:val="top"/>
          </w:tcPr>
          <w:p>
            <w:pPr>
              <w:spacing w:after="40" w:before="20" w:line="252" w:lineRule="auto"/>
            </w:pPr>
            <w:r>
              <w:rPr>
                <w:sz w:val="16"/>
              </w:rPr>
              <w:t>ON-03</w:t>
            </w:r>
          </w:p>
        </w:tc>
        <w:tc>
          <w:tcPr>
            <w:tcW w:type="dxa" w:w="3912"/>
            <w:vAlign w:val="top"/>
          </w:tcPr>
          <w:p>
            <w:pPr>
              <w:spacing w:after="40" w:before="20" w:line="252" w:lineRule="auto"/>
            </w:pPr>
            <w:r>
              <w:rPr>
                <w:sz w:val="16"/>
              </w:rPr>
              <w:t>Consultar historial a través de QR.</w:t>
            </w:r>
          </w:p>
        </w:tc>
        <w:tc>
          <w:tcPr>
            <w:tcW w:type="dxa" w:w="4139"/>
            <w:vAlign w:val="top"/>
          </w:tcPr>
          <w:p>
            <w:pPr>
              <w:spacing w:after="40" w:before="20" w:line="252" w:lineRule="auto"/>
            </w:pPr>
            <w:r>
              <w:rPr>
                <w:sz w:val="16"/>
              </w:rPr>
              <w:t>Modelo de movimientos relacionado con un identificador estable y consultas rastreables.</w:t>
            </w:r>
          </w:p>
        </w:tc>
      </w:tr>
      <w:tr>
        <w:trPr>
          <w:cantSplit/>
        </w:trPr>
        <w:tc>
          <w:tcPr>
            <w:tcW w:type="dxa" w:w="1134"/>
            <w:vAlign w:val="top"/>
            <w:shd w:fill="F3F7F8"/>
          </w:tcPr>
          <w:p>
            <w:pPr>
              <w:spacing w:after="40" w:before="20" w:line="252" w:lineRule="auto"/>
            </w:pPr>
            <w:r>
              <w:rPr>
                <w:sz w:val="16"/>
              </w:rPr>
              <w:t>ON-04</w:t>
            </w:r>
          </w:p>
        </w:tc>
        <w:tc>
          <w:tcPr>
            <w:tcW w:type="dxa" w:w="3912"/>
            <w:vAlign w:val="top"/>
            <w:shd w:fill="F3F7F8"/>
          </w:tcPr>
          <w:p>
            <w:pPr>
              <w:spacing w:after="40" w:before="20" w:line="252" w:lineRule="auto"/>
            </w:pPr>
            <w:r>
              <w:rPr>
                <w:sz w:val="16"/>
              </w:rPr>
              <w:t>Permitir operación desde equipos móviles.</w:t>
            </w:r>
          </w:p>
        </w:tc>
        <w:tc>
          <w:tcPr>
            <w:tcW w:type="dxa" w:w="4139"/>
            <w:vAlign w:val="top"/>
            <w:shd w:fill="F3F7F8"/>
          </w:tcPr>
          <w:p>
            <w:pPr>
              <w:spacing w:after="40" w:before="20" w:line="252" w:lineRule="auto"/>
            </w:pPr>
            <w:r>
              <w:rPr>
                <w:sz w:val="16"/>
              </w:rPr>
              <w:t>Interfaz adaptable, accesibilidad de la API y seguridad de comunicaciones.</w:t>
            </w:r>
          </w:p>
        </w:tc>
      </w:tr>
      <w:tr>
        <w:trPr>
          <w:cantSplit/>
        </w:trPr>
        <w:tc>
          <w:tcPr>
            <w:tcW w:type="dxa" w:w="1134"/>
            <w:vAlign w:val="top"/>
          </w:tcPr>
          <w:p>
            <w:pPr>
              <w:spacing w:after="40" w:before="20" w:line="252" w:lineRule="auto"/>
            </w:pPr>
            <w:r>
              <w:rPr>
                <w:sz w:val="16"/>
              </w:rPr>
              <w:t>ON-05</w:t>
            </w:r>
          </w:p>
        </w:tc>
        <w:tc>
          <w:tcPr>
            <w:tcW w:type="dxa" w:w="3912"/>
            <w:vAlign w:val="top"/>
          </w:tcPr>
          <w:p>
            <w:pPr>
              <w:spacing w:after="40" w:before="20" w:line="252" w:lineRule="auto"/>
            </w:pPr>
            <w:r>
              <w:rPr>
                <w:sz w:val="16"/>
              </w:rPr>
              <w:t>Proteger información y operaciones por usuario/rol.</w:t>
            </w:r>
          </w:p>
        </w:tc>
        <w:tc>
          <w:tcPr>
            <w:tcW w:type="dxa" w:w="4139"/>
            <w:vAlign w:val="top"/>
          </w:tcPr>
          <w:p>
            <w:pPr>
              <w:spacing w:after="40" w:before="20" w:line="252" w:lineRule="auto"/>
            </w:pPr>
            <w:r>
              <w:rPr>
                <w:sz w:val="16"/>
              </w:rPr>
              <w:t>Autenticación, autorización a nivel de operación y objeto, auditoría.</w:t>
            </w:r>
          </w:p>
        </w:tc>
      </w:tr>
      <w:tr>
        <w:trPr>
          <w:cantSplit/>
        </w:trPr>
        <w:tc>
          <w:tcPr>
            <w:tcW w:type="dxa" w:w="1134"/>
            <w:vAlign w:val="top"/>
            <w:shd w:fill="F3F7F8"/>
          </w:tcPr>
          <w:p>
            <w:pPr>
              <w:spacing w:after="40" w:before="20" w:line="252" w:lineRule="auto"/>
            </w:pPr>
            <w:r>
              <w:rPr>
                <w:sz w:val="16"/>
              </w:rPr>
              <w:t>RT-01</w:t>
            </w:r>
          </w:p>
        </w:tc>
        <w:tc>
          <w:tcPr>
            <w:tcW w:type="dxa" w:w="3912"/>
            <w:vAlign w:val="top"/>
            <w:shd w:fill="F3F7F8"/>
          </w:tcPr>
          <w:p>
            <w:pPr>
              <w:spacing w:after="40" w:before="20" w:line="252" w:lineRule="auto"/>
            </w:pPr>
            <w:r>
              <w:rPr>
                <w:sz w:val="16"/>
              </w:rPr>
              <w:t>Diseñar la solución con Blazor WebAssembly, ASP.NET Core y PostgreSQL/Supabase como arquitectura candidata de Fase 1.</w:t>
            </w:r>
          </w:p>
        </w:tc>
        <w:tc>
          <w:tcPr>
            <w:tcW w:type="dxa" w:w="4139"/>
            <w:vAlign w:val="top"/>
            <w:shd w:fill="F3F7F8"/>
          </w:tcPr>
          <w:p>
            <w:pPr>
              <w:spacing w:after="40" w:before="20" w:line="252" w:lineRule="auto"/>
            </w:pPr>
            <w:r>
              <w:rPr>
                <w:sz w:val="16"/>
              </w:rPr>
              <w:t>Evaluar responsabilidades de cada componente y las dependencias sin presuponer que existe una aplicación operativa.</w:t>
            </w:r>
          </w:p>
        </w:tc>
      </w:tr>
      <w:tr>
        <w:trPr>
          <w:cantSplit/>
        </w:trPr>
        <w:tc>
          <w:tcPr>
            <w:tcW w:type="dxa" w:w="1134"/>
            <w:vAlign w:val="top"/>
          </w:tcPr>
          <w:p>
            <w:pPr>
              <w:spacing w:after="40" w:before="20" w:line="252" w:lineRule="auto"/>
            </w:pPr>
            <w:r>
              <w:rPr>
                <w:sz w:val="16"/>
              </w:rPr>
              <w:t>RT-02</w:t>
            </w:r>
          </w:p>
        </w:tc>
        <w:tc>
          <w:tcPr>
            <w:tcW w:type="dxa" w:w="3912"/>
            <w:vAlign w:val="top"/>
          </w:tcPr>
          <w:p>
            <w:pPr>
              <w:spacing w:after="40" w:before="20" w:line="252" w:lineRule="auto"/>
            </w:pPr>
            <w:r>
              <w:rPr>
                <w:sz w:val="16"/>
              </w:rPr>
              <w:t>Considerar funcionamiento offline, Azure y Power BI como capacidades previstas en la documentación del proyecto.</w:t>
            </w:r>
          </w:p>
        </w:tc>
        <w:tc>
          <w:tcPr>
            <w:tcW w:type="dxa" w:w="4139"/>
            <w:vAlign w:val="top"/>
          </w:tcPr>
          <w:p>
            <w:pPr>
              <w:spacing w:after="40" w:before="20" w:line="252" w:lineRule="auto"/>
            </w:pPr>
            <w:r>
              <w:rPr>
                <w:sz w:val="16"/>
              </w:rPr>
              <w:t>Definir interfaces, compromisos y escenarios específicos; diferenciar lo previsto en Fase 1 de su implementación futura.</w:t>
            </w:r>
          </w:p>
        </w:tc>
      </w:tr>
    </w:tbl>
    <w:p>
      <w:pPr>
        <w:spacing w:after="20"/>
      </w:pPr>
    </w:p>
    <w:p>
      <w:r>
        <w:t>Prioridad de negocio propuesta para Fase 1: preservar la integridad de inventario y la trazabilidad de movimientos, con seguridad como condición de diseño para el futuro uso multiusuario. Los responsables del proyecto y usuarios deberán confirmar estas prioridades.</w:t>
      </w:r>
    </w:p>
    <w:p>
      <w:pPr>
        <w:pStyle w:val="Heading1"/>
      </w:pPr>
      <w:r>
        <w:t>Paso 3. Presentar la arquitectura</w:t>
      </w:r>
    </w:p>
    <w:p>
      <w:r>
        <w:t>Vista lógica propuesta: navegador o dispositivo móvil con Blazor WebAssembly → API REST ASP.NET Core → reglas de negocio y acceso a PostgreSQL/Supabase. El QR contendrá una referencia estable para recuperar la ficha e historial; su posesión no debe equivaler a autorización. El diseño de conexión pública segura, si aplica, se especificará en despliegue.</w:t>
      </w:r>
    </w:p>
    <w:tbl>
      <w:tblPr>
        <w:tblStyle w:val="TableGrid"/>
        <w:tblW w:type="auto" w:w="0"/>
        <w:jc w:val="center"/>
        <w:tblLayout w:type="fixed"/>
        <w:tblLook w:firstColumn="1" w:firstRow="1" w:lastColumn="0" w:lastRow="0" w:noHBand="0" w:noVBand="1" w:val="04A0"/>
      </w:tblPr>
      <w:tblGrid>
        <w:gridCol w:w="1928"/>
        <w:gridCol w:w="3742"/>
        <w:gridCol w:w="3515"/>
      </w:tblGrid>
      <w:tr>
        <w:trPr>
          <w:tblHeader w:val="true"/>
        </w:trPr>
        <w:tc>
          <w:tcPr>
            <w:tcW w:type="dxa" w:w="3118"/>
            <w:vAlign w:val="center"/>
            <w:shd w:fill="18485A"/>
          </w:tcPr>
          <w:p>
            <w:pPr>
              <w:spacing w:after="0"/>
            </w:pPr>
            <w:r>
              <w:rPr>
                <w:b/>
                <w:color w:val="FFFFFF"/>
                <w:sz w:val="16"/>
              </w:rPr>
              <w:t>Elemento</w:t>
            </w:r>
          </w:p>
        </w:tc>
        <w:tc>
          <w:tcPr>
            <w:tcW w:type="dxa" w:w="3118"/>
            <w:vAlign w:val="center"/>
            <w:shd w:fill="18485A"/>
          </w:tcPr>
          <w:p>
            <w:pPr>
              <w:spacing w:after="0"/>
            </w:pPr>
            <w:r>
              <w:rPr>
                <w:b/>
                <w:color w:val="FFFFFF"/>
                <w:sz w:val="16"/>
              </w:rPr>
              <w:t>Responsabilidad</w:t>
            </w:r>
          </w:p>
        </w:tc>
        <w:tc>
          <w:tcPr>
            <w:tcW w:type="dxa" w:w="3118"/>
            <w:vAlign w:val="center"/>
            <w:shd w:fill="18485A"/>
          </w:tcPr>
          <w:p>
            <w:pPr>
              <w:spacing w:after="0"/>
            </w:pPr>
            <w:r>
              <w:rPr>
                <w:b/>
                <w:color w:val="FFFFFF"/>
                <w:sz w:val="16"/>
              </w:rPr>
              <w:t>Aspecto por definir y validar</w:t>
            </w:r>
          </w:p>
        </w:tc>
      </w:tr>
      <w:tr>
        <w:trPr>
          <w:cantSplit/>
        </w:trPr>
        <w:tc>
          <w:tcPr>
            <w:tcW w:type="dxa" w:w="1928"/>
            <w:vAlign w:val="top"/>
          </w:tcPr>
          <w:p>
            <w:pPr>
              <w:spacing w:after="40" w:before="20" w:line="252" w:lineRule="auto"/>
            </w:pPr>
            <w:r>
              <w:rPr>
                <w:sz w:val="16"/>
              </w:rPr>
              <w:t>Blazor WebAssembly</w:t>
            </w:r>
          </w:p>
        </w:tc>
        <w:tc>
          <w:tcPr>
            <w:tcW w:type="dxa" w:w="3742"/>
            <w:vAlign w:val="top"/>
          </w:tcPr>
          <w:p>
            <w:pPr>
              <w:spacing w:after="40" w:before="20" w:line="252" w:lineRule="auto"/>
            </w:pPr>
            <w:r>
              <w:rPr>
                <w:sz w:val="16"/>
              </w:rPr>
              <w:t>Proveer pantallas de cilindros, operaciones y consulta QR; orientar la entrada con validaciones de interfaz.</w:t>
            </w:r>
          </w:p>
        </w:tc>
        <w:tc>
          <w:tcPr>
            <w:tcW w:type="dxa" w:w="3515"/>
            <w:vAlign w:val="top"/>
          </w:tcPr>
          <w:p>
            <w:pPr>
              <w:spacing w:after="40" w:before="20" w:line="252" w:lineRule="auto"/>
            </w:pPr>
            <w:r>
              <w:rPr>
                <w:sz w:val="16"/>
              </w:rPr>
              <w:t>Precisar experiencia móvil, manejo de errores y compatibilidad; diseñar matriz de pruebas de dispositivos.</w:t>
            </w:r>
          </w:p>
        </w:tc>
      </w:tr>
      <w:tr>
        <w:trPr>
          <w:cantSplit/>
        </w:trPr>
        <w:tc>
          <w:tcPr>
            <w:tcW w:type="dxa" w:w="1928"/>
            <w:vAlign w:val="top"/>
            <w:shd w:fill="F3F7F8"/>
          </w:tcPr>
          <w:p>
            <w:pPr>
              <w:spacing w:after="40" w:before="20" w:line="252" w:lineRule="auto"/>
            </w:pPr>
            <w:r>
              <w:rPr>
                <w:sz w:val="16"/>
              </w:rPr>
              <w:t>ASP.NET Core API REST</w:t>
            </w:r>
          </w:p>
        </w:tc>
        <w:tc>
          <w:tcPr>
            <w:tcW w:type="dxa" w:w="3742"/>
            <w:vAlign w:val="top"/>
            <w:shd w:fill="F3F7F8"/>
          </w:tcPr>
          <w:p>
            <w:pPr>
              <w:spacing w:after="40" w:before="20" w:line="252" w:lineRule="auto"/>
            </w:pPr>
            <w:r>
              <w:rPr>
                <w:sz w:val="16"/>
              </w:rPr>
              <w:t>Exponer operaciones y consultas; validar reglas de dominio y autorización antes de persistir.</w:t>
            </w:r>
          </w:p>
        </w:tc>
        <w:tc>
          <w:tcPr>
            <w:tcW w:type="dxa" w:w="3515"/>
            <w:vAlign w:val="top"/>
            <w:shd w:fill="F3F7F8"/>
          </w:tcPr>
          <w:p>
            <w:pPr>
              <w:spacing w:after="40" w:before="20" w:line="252" w:lineRule="auto"/>
            </w:pPr>
            <w:r>
              <w:rPr>
                <w:sz w:val="16"/>
              </w:rPr>
              <w:t>Definir contratos, componentes internos, reglas de negocio, manejo de concurrencia y pruebas de API.</w:t>
            </w:r>
          </w:p>
        </w:tc>
      </w:tr>
      <w:tr>
        <w:trPr>
          <w:cantSplit/>
        </w:trPr>
        <w:tc>
          <w:tcPr>
            <w:tcW w:type="dxa" w:w="1928"/>
            <w:vAlign w:val="top"/>
          </w:tcPr>
          <w:p>
            <w:pPr>
              <w:spacing w:after="40" w:before="20" w:line="252" w:lineRule="auto"/>
            </w:pPr>
            <w:r>
              <w:rPr>
                <w:sz w:val="16"/>
              </w:rPr>
              <w:t>PostgreSQL / Supabase</w:t>
            </w:r>
          </w:p>
        </w:tc>
        <w:tc>
          <w:tcPr>
            <w:tcW w:type="dxa" w:w="3742"/>
            <w:vAlign w:val="top"/>
          </w:tcPr>
          <w:p>
            <w:pPr>
              <w:spacing w:after="40" w:before="20" w:line="252" w:lineRule="auto"/>
            </w:pPr>
            <w:r>
              <w:rPr>
                <w:sz w:val="16"/>
              </w:rPr>
              <w:t>Persistir cilindros, identificadores, estados y movimientos; soportar claves externas, unicidad y transacciones.</w:t>
            </w:r>
          </w:p>
        </w:tc>
        <w:tc>
          <w:tcPr>
            <w:tcW w:type="dxa" w:w="3515"/>
            <w:vAlign w:val="top"/>
          </w:tcPr>
          <w:p>
            <w:pPr>
              <w:spacing w:after="40" w:before="20" w:line="252" w:lineRule="auto"/>
            </w:pPr>
            <w:r>
              <w:rPr>
                <w:sz w:val="16"/>
              </w:rPr>
              <w:t>Especificar índices, restricciones, integridad referencial, aislamiento, política de respaldos y recuperación.</w:t>
            </w:r>
          </w:p>
        </w:tc>
      </w:tr>
      <w:tr>
        <w:trPr>
          <w:cantSplit/>
        </w:trPr>
        <w:tc>
          <w:tcPr>
            <w:tcW w:type="dxa" w:w="1928"/>
            <w:vAlign w:val="top"/>
            <w:shd w:fill="F3F7F8"/>
          </w:tcPr>
          <w:p>
            <w:pPr>
              <w:spacing w:after="40" w:before="20" w:line="252" w:lineRule="auto"/>
            </w:pPr>
            <w:r>
              <w:rPr>
                <w:sz w:val="16"/>
              </w:rPr>
              <w:t>QR</w:t>
            </w:r>
          </w:p>
        </w:tc>
        <w:tc>
          <w:tcPr>
            <w:tcW w:type="dxa" w:w="3742"/>
            <w:vAlign w:val="top"/>
            <w:shd w:fill="F3F7F8"/>
          </w:tcPr>
          <w:p>
            <w:pPr>
              <w:spacing w:after="40" w:before="20" w:line="252" w:lineRule="auto"/>
            </w:pPr>
            <w:r>
              <w:rPr>
                <w:sz w:val="16"/>
              </w:rPr>
              <w:t>Portar una referencia de identificación para acceder a ficha e historial de forma controlada.</w:t>
            </w:r>
          </w:p>
        </w:tc>
        <w:tc>
          <w:tcPr>
            <w:tcW w:type="dxa" w:w="3515"/>
            <w:vAlign w:val="top"/>
            <w:shd w:fill="F3F7F8"/>
          </w:tcPr>
          <w:p>
            <w:pPr>
              <w:spacing w:after="40" w:before="20" w:line="252" w:lineRule="auto"/>
            </w:pPr>
            <w:r>
              <w:rPr>
                <w:sz w:val="16"/>
              </w:rPr>
              <w:t>Definir formato estable, acceso autorizado y política ante cambio de dirección o pérdida de etiqueta.</w:t>
            </w:r>
          </w:p>
        </w:tc>
      </w:tr>
      <w:tr>
        <w:trPr>
          <w:cantSplit/>
        </w:trPr>
        <w:tc>
          <w:tcPr>
            <w:tcW w:type="dxa" w:w="1928"/>
            <w:vAlign w:val="top"/>
          </w:tcPr>
          <w:p>
            <w:pPr>
              <w:spacing w:after="40" w:before="20" w:line="252" w:lineRule="auto"/>
            </w:pPr>
            <w:r>
              <w:rPr>
                <w:sz w:val="16"/>
              </w:rPr>
              <w:t>Azure / Power BI / offline</w:t>
            </w:r>
          </w:p>
        </w:tc>
        <w:tc>
          <w:tcPr>
            <w:tcW w:type="dxa" w:w="3742"/>
            <w:vAlign w:val="top"/>
          </w:tcPr>
          <w:p>
            <w:pPr>
              <w:spacing w:after="40" w:before="20" w:line="252" w:lineRule="auto"/>
            </w:pPr>
            <w:r>
              <w:rPr>
                <w:sz w:val="16"/>
              </w:rPr>
              <w:t>Capacidades contempladas en la planificación: despliegue en Azure, análisis en Power BI y eventual operación offline.</w:t>
            </w:r>
          </w:p>
        </w:tc>
        <w:tc>
          <w:tcPr>
            <w:tcW w:type="dxa" w:w="3515"/>
            <w:vAlign w:val="top"/>
          </w:tcPr>
          <w:p>
            <w:pPr>
              <w:spacing w:after="40" w:before="20" w:line="252" w:lineRule="auto"/>
            </w:pPr>
            <w:r>
              <w:rPr>
                <w:sz w:val="16"/>
              </w:rPr>
              <w:t>Detallar su alcance e interfaces y diseñar sus escenarios propios; su funcionamiento no se afirma en Fase 1.</w:t>
            </w:r>
          </w:p>
        </w:tc>
      </w:tr>
    </w:tbl>
    <w:p>
      <w:pPr>
        <w:spacing w:after="20"/>
      </w:pPr>
    </w:p>
    <w:p>
      <w:r>
        <w:t>Flujo arquitectónico esperado: (1) el usuario solicita una operación; (2) la API identifica y autoriza al actor; (3) valida las reglas del dominio; (4) persiste estado y movimiento de manera atómica; (5) conserva evidencia auditable; (6) retorna el resultado a la interfaz. Cada paso constituye una condición de diseño, no un comportamiento ya probado.</w:t>
      </w:r>
    </w:p>
    <w:p>
      <w:r>
        <w:t>Estado del paso 3: arquitectura candidata de Fase 1. Los diagramas de contexto, componentes, datos y despliegue deben mantenerse coherentes con estas responsabilidades y evolucionar cuando se implemente el sistema.</w:t>
      </w:r>
    </w:p>
    <w:p>
      <w:pPr>
        <w:pStyle w:val="Heading1"/>
      </w:pPr>
      <w:r>
        <w:t>Paso 4. Identificar enfoques y decisiones arquitectónicas</w:t>
      </w:r>
    </w:p>
    <w:tbl>
      <w:tblPr>
        <w:tblStyle w:val="TableGrid"/>
        <w:tblW w:type="auto" w:w="0"/>
        <w:jc w:val="center"/>
        <w:tblLayout w:type="fixed"/>
        <w:tblLook w:firstColumn="1" w:firstRow="1" w:lastColumn="0" w:lastRow="0" w:noHBand="0" w:noVBand="1" w:val="04A0"/>
      </w:tblPr>
      <w:tblGrid>
        <w:gridCol w:w="1191"/>
        <w:gridCol w:w="4819"/>
        <w:gridCol w:w="3175"/>
      </w:tblGrid>
      <w:tr>
        <w:trPr>
          <w:tblHeader w:val="true"/>
        </w:trPr>
        <w:tc>
          <w:tcPr>
            <w:tcW w:type="dxa" w:w="3118"/>
            <w:vAlign w:val="center"/>
            <w:shd w:fill="18485A"/>
          </w:tcPr>
          <w:p>
            <w:pPr>
              <w:spacing w:after="0"/>
            </w:pPr>
            <w:r>
              <w:rPr>
                <w:b/>
                <w:color w:val="FFFFFF"/>
                <w:sz w:val="16"/>
              </w:rPr>
              <w:t>ID</w:t>
            </w:r>
          </w:p>
        </w:tc>
        <w:tc>
          <w:tcPr>
            <w:tcW w:type="dxa" w:w="3118"/>
            <w:vAlign w:val="center"/>
            <w:shd w:fill="18485A"/>
          </w:tcPr>
          <w:p>
            <w:pPr>
              <w:spacing w:after="0"/>
            </w:pPr>
            <w:r>
              <w:rPr>
                <w:b/>
                <w:color w:val="FFFFFF"/>
                <w:sz w:val="16"/>
              </w:rPr>
              <w:t>Decisión arquitectónica propuesta</w:t>
            </w:r>
          </w:p>
        </w:tc>
        <w:tc>
          <w:tcPr>
            <w:tcW w:type="dxa" w:w="3118"/>
            <w:vAlign w:val="center"/>
            <w:shd w:fill="18485A"/>
          </w:tcPr>
          <w:p>
            <w:pPr>
              <w:spacing w:after="0"/>
            </w:pPr>
            <w:r>
              <w:rPr>
                <w:b/>
                <w:color w:val="FFFFFF"/>
                <w:sz w:val="16"/>
              </w:rPr>
              <w:t>Atributos relacionados / incertidumbre</w:t>
            </w:r>
          </w:p>
        </w:tc>
      </w:tr>
      <w:tr>
        <w:trPr>
          <w:cantSplit/>
        </w:trPr>
        <w:tc>
          <w:tcPr>
            <w:tcW w:type="dxa" w:w="1191"/>
            <w:vAlign w:val="top"/>
          </w:tcPr>
          <w:p>
            <w:pPr>
              <w:spacing w:after="40" w:before="20" w:line="252" w:lineRule="auto"/>
            </w:pPr>
            <w:r>
              <w:rPr>
                <w:sz w:val="16"/>
              </w:rPr>
              <w:t>DA-01</w:t>
            </w:r>
          </w:p>
        </w:tc>
        <w:tc>
          <w:tcPr>
            <w:tcW w:type="dxa" w:w="4819"/>
            <w:vAlign w:val="top"/>
          </w:tcPr>
          <w:p>
            <w:pPr>
              <w:spacing w:after="40" w:before="20" w:line="252" w:lineRule="auto"/>
            </w:pPr>
            <w:r>
              <w:rPr>
                <w:sz w:val="16"/>
              </w:rPr>
              <w:t>Separar frontend Blazor WebAssembly y API REST ASP.NET Core.</w:t>
            </w:r>
          </w:p>
        </w:tc>
        <w:tc>
          <w:tcPr>
            <w:tcW w:type="dxa" w:w="3175"/>
            <w:vAlign w:val="top"/>
          </w:tcPr>
          <w:p>
            <w:pPr>
              <w:spacing w:after="40" w:before="20" w:line="252" w:lineRule="auto"/>
            </w:pPr>
            <w:r>
              <w:rPr>
                <w:sz w:val="16"/>
              </w:rPr>
              <w:t>Modificabilidad y separación de responsabilidades; diseñar CORS, HTTPS, contratos y acceso móvil.</w:t>
            </w:r>
          </w:p>
        </w:tc>
      </w:tr>
      <w:tr>
        <w:trPr>
          <w:cantSplit/>
        </w:trPr>
        <w:tc>
          <w:tcPr>
            <w:tcW w:type="dxa" w:w="1191"/>
            <w:vAlign w:val="top"/>
            <w:shd w:fill="F3F7F8"/>
          </w:tcPr>
          <w:p>
            <w:pPr>
              <w:spacing w:after="40" w:before="20" w:line="252" w:lineRule="auto"/>
            </w:pPr>
            <w:r>
              <w:rPr>
                <w:sz w:val="16"/>
              </w:rPr>
              <w:t>DA-02</w:t>
            </w:r>
          </w:p>
        </w:tc>
        <w:tc>
          <w:tcPr>
            <w:tcW w:type="dxa" w:w="4819"/>
            <w:vAlign w:val="top"/>
            <w:shd w:fill="F3F7F8"/>
          </w:tcPr>
          <w:p>
            <w:pPr>
              <w:spacing w:after="40" w:before="20" w:line="252" w:lineRule="auto"/>
            </w:pPr>
            <w:r>
              <w:rPr>
                <w:sz w:val="16"/>
              </w:rPr>
              <w:t>Centralizar en la API las reglas de registro y movimientos.</w:t>
            </w:r>
          </w:p>
        </w:tc>
        <w:tc>
          <w:tcPr>
            <w:tcW w:type="dxa" w:w="3175"/>
            <w:vAlign w:val="top"/>
            <w:shd w:fill="F3F7F8"/>
          </w:tcPr>
          <w:p>
            <w:pPr>
              <w:spacing w:after="40" w:before="20" w:line="252" w:lineRule="auto"/>
            </w:pPr>
            <w:r>
              <w:rPr>
                <w:sz w:val="16"/>
              </w:rPr>
              <w:t>Consistencia y mantenibilidad; definir restricciones de dominio y casos negativos para todas las rutas.</w:t>
            </w:r>
          </w:p>
        </w:tc>
      </w:tr>
      <w:tr>
        <w:trPr>
          <w:cantSplit/>
        </w:trPr>
        <w:tc>
          <w:tcPr>
            <w:tcW w:type="dxa" w:w="1191"/>
            <w:vAlign w:val="top"/>
          </w:tcPr>
          <w:p>
            <w:pPr>
              <w:spacing w:after="40" w:before="20" w:line="252" w:lineRule="auto"/>
            </w:pPr>
            <w:r>
              <w:rPr>
                <w:sz w:val="16"/>
              </w:rPr>
              <w:t>DA-03</w:t>
            </w:r>
          </w:p>
        </w:tc>
        <w:tc>
          <w:tcPr>
            <w:tcW w:type="dxa" w:w="4819"/>
            <w:vAlign w:val="top"/>
          </w:tcPr>
          <w:p>
            <w:pPr>
              <w:spacing w:after="40" w:before="20" w:line="252" w:lineRule="auto"/>
            </w:pPr>
            <w:r>
              <w:rPr>
                <w:sz w:val="16"/>
              </w:rPr>
              <w:t>Utilizar PostgreSQL con unicidad persistente para el identificador de cilindro.</w:t>
            </w:r>
          </w:p>
        </w:tc>
        <w:tc>
          <w:tcPr>
            <w:tcW w:type="dxa" w:w="3175"/>
            <w:vAlign w:val="top"/>
          </w:tcPr>
          <w:p>
            <w:pPr>
              <w:spacing w:after="40" w:before="20" w:line="252" w:lineRule="auto"/>
            </w:pPr>
            <w:r>
              <w:rPr>
                <w:sz w:val="16"/>
              </w:rPr>
              <w:t>Integridad; definir formato, secuencia, manejo de colisiones y concurrencia sin depender solo de la interfaz.</w:t>
            </w:r>
          </w:p>
        </w:tc>
      </w:tr>
      <w:tr>
        <w:trPr>
          <w:cantSplit/>
        </w:trPr>
        <w:tc>
          <w:tcPr>
            <w:tcW w:type="dxa" w:w="1191"/>
            <w:vAlign w:val="top"/>
            <w:shd w:fill="F3F7F8"/>
          </w:tcPr>
          <w:p>
            <w:pPr>
              <w:spacing w:after="40" w:before="20" w:line="252" w:lineRule="auto"/>
            </w:pPr>
            <w:r>
              <w:rPr>
                <w:sz w:val="16"/>
              </w:rPr>
              <w:t>DA-04</w:t>
            </w:r>
          </w:p>
        </w:tc>
        <w:tc>
          <w:tcPr>
            <w:tcW w:type="dxa" w:w="4819"/>
            <w:vAlign w:val="top"/>
            <w:shd w:fill="F3F7F8"/>
          </w:tcPr>
          <w:p>
            <w:pPr>
              <w:spacing w:after="40" w:before="20" w:line="252" w:lineRule="auto"/>
            </w:pPr>
            <w:r>
              <w:rPr>
                <w:sz w:val="16"/>
              </w:rPr>
              <w:t>Relacionar cada movimiento con el cilindro y permitir consultar su historial por referencia QR.</w:t>
            </w:r>
          </w:p>
        </w:tc>
        <w:tc>
          <w:tcPr>
            <w:tcW w:type="dxa" w:w="3175"/>
            <w:vAlign w:val="top"/>
            <w:shd w:fill="F3F7F8"/>
          </w:tcPr>
          <w:p>
            <w:pPr>
              <w:spacing w:after="40" w:before="20" w:line="252" w:lineRule="auto"/>
            </w:pPr>
            <w:r>
              <w:rPr>
                <w:sz w:val="16"/>
              </w:rPr>
              <w:t>Trazabilidad; especificar actor, fecha, inmutabilidad, rectificaciones y control de acceso.</w:t>
            </w:r>
          </w:p>
        </w:tc>
      </w:tr>
      <w:tr>
        <w:trPr>
          <w:cantSplit/>
        </w:trPr>
        <w:tc>
          <w:tcPr>
            <w:tcW w:type="dxa" w:w="1191"/>
            <w:vAlign w:val="top"/>
          </w:tcPr>
          <w:p>
            <w:pPr>
              <w:spacing w:after="40" w:before="20" w:line="252" w:lineRule="auto"/>
            </w:pPr>
            <w:r>
              <w:rPr>
                <w:sz w:val="16"/>
              </w:rPr>
              <w:t>DA-05</w:t>
            </w:r>
          </w:p>
        </w:tc>
        <w:tc>
          <w:tcPr>
            <w:tcW w:type="dxa" w:w="4819"/>
            <w:vAlign w:val="top"/>
          </w:tcPr>
          <w:p>
            <w:pPr>
              <w:spacing w:after="40" w:before="20" w:line="252" w:lineRule="auto"/>
            </w:pPr>
            <w:r>
              <w:rPr>
                <w:sz w:val="16"/>
              </w:rPr>
              <w:t>Diseñar autenticación, permisos por rol/objeto y auditoría en la API.</w:t>
            </w:r>
          </w:p>
        </w:tc>
        <w:tc>
          <w:tcPr>
            <w:tcW w:type="dxa" w:w="3175"/>
            <w:vAlign w:val="top"/>
          </w:tcPr>
          <w:p>
            <w:pPr>
              <w:spacing w:after="40" w:before="20" w:line="252" w:lineRule="auto"/>
            </w:pPr>
            <w:r>
              <w:rPr>
                <w:sz w:val="16"/>
              </w:rPr>
              <w:t>Seguridad y atribución de acciones; establecer política de privilegios y eventos auditables.</w:t>
            </w:r>
          </w:p>
        </w:tc>
      </w:tr>
      <w:tr>
        <w:trPr>
          <w:cantSplit/>
        </w:trPr>
        <w:tc>
          <w:tcPr>
            <w:tcW w:type="dxa" w:w="1191"/>
            <w:vAlign w:val="top"/>
            <w:shd w:fill="F3F7F8"/>
          </w:tcPr>
          <w:p>
            <w:pPr>
              <w:spacing w:after="40" w:before="20" w:line="252" w:lineRule="auto"/>
            </w:pPr>
            <w:r>
              <w:rPr>
                <w:sz w:val="16"/>
              </w:rPr>
              <w:t>DA-06</w:t>
            </w:r>
          </w:p>
        </w:tc>
        <w:tc>
          <w:tcPr>
            <w:tcW w:type="dxa" w:w="4819"/>
            <w:vAlign w:val="top"/>
            <w:shd w:fill="F3F7F8"/>
          </w:tcPr>
          <w:p>
            <w:pPr>
              <w:spacing w:after="40" w:before="20" w:line="252" w:lineRule="auto"/>
            </w:pPr>
            <w:r>
              <w:rPr>
                <w:sz w:val="16"/>
              </w:rPr>
              <w:t>Definir un destino de despliegue accesible por nombre estable y HTTPS; evitar acoplar los QR a direcciones locales.</w:t>
            </w:r>
          </w:p>
        </w:tc>
        <w:tc>
          <w:tcPr>
            <w:tcW w:type="dxa" w:w="3175"/>
            <w:vAlign w:val="top"/>
            <w:shd w:fill="F3F7F8"/>
          </w:tcPr>
          <w:p>
            <w:pPr>
              <w:spacing w:after="40" w:before="20" w:line="252" w:lineRule="auto"/>
            </w:pPr>
            <w:r>
              <w:rPr>
                <w:sz w:val="16"/>
              </w:rPr>
              <w:t>Disponibilidad y portabilidad; definir DNS, TLS, variables de entorno y continuidad entre redes.</w:t>
            </w:r>
          </w:p>
        </w:tc>
      </w:tr>
      <w:tr>
        <w:trPr>
          <w:cantSplit/>
        </w:trPr>
        <w:tc>
          <w:tcPr>
            <w:tcW w:type="dxa" w:w="1191"/>
            <w:vAlign w:val="top"/>
          </w:tcPr>
          <w:p>
            <w:pPr>
              <w:spacing w:after="40" w:before="20" w:line="252" w:lineRule="auto"/>
            </w:pPr>
            <w:r>
              <w:rPr>
                <w:sz w:val="16"/>
              </w:rPr>
              <w:t>DA-07</w:t>
            </w:r>
          </w:p>
        </w:tc>
        <w:tc>
          <w:tcPr>
            <w:tcW w:type="dxa" w:w="4819"/>
            <w:vAlign w:val="top"/>
          </w:tcPr>
          <w:p>
            <w:pPr>
              <w:spacing w:after="40" w:before="20" w:line="252" w:lineRule="auto"/>
            </w:pPr>
            <w:r>
              <w:rPr>
                <w:sz w:val="16"/>
              </w:rPr>
              <w:t>Conservar offline, Azure y Power BI como capacidades arquitectónicas previstas por el proyecto.</w:t>
            </w:r>
          </w:p>
        </w:tc>
        <w:tc>
          <w:tcPr>
            <w:tcW w:type="dxa" w:w="3175"/>
            <w:vAlign w:val="top"/>
          </w:tcPr>
          <w:p>
            <w:pPr>
              <w:spacing w:after="40" w:before="20" w:line="252" w:lineRule="auto"/>
            </w:pPr>
            <w:r>
              <w:rPr>
                <w:sz w:val="16"/>
              </w:rPr>
              <w:t>Consistencia e interoperabilidad; delimitar contratos y evaluar complejidad antes de implementación.</w:t>
            </w:r>
          </w:p>
        </w:tc>
      </w:tr>
    </w:tbl>
    <w:p>
      <w:pPr>
        <w:spacing w:after="20"/>
      </w:pPr>
    </w:p>
    <w:p>
      <w:r>
        <w:t>El paso 4 explicita decisiones de la arquitectura candidata. Los efectos esperados se analizan conceptualmente en el paso 6 y se revisarán con los escenarios adicionales del paso 8.</w:t>
      </w:r>
    </w:p>
    <w:p>
      <w:pPr>
        <w:pStyle w:val="Heading1"/>
      </w:pPr>
      <w:r>
        <w:t>Paso 5. Construir árbol de utilidad y escenarios</w:t>
      </w:r>
    </w:p>
    <w:p>
      <w:r>
        <w:t>Raíz: utilidad de AFRISAN. Ramas propuestas: integridad, trazabilidad, seguridad, movilidad, disponibilidad/recuperabilidad, interoperabilidad y modificabilidad. Las hojas son escenarios de calidad del diseño. La importancia y dificultad propuestas deberán validarse con los interesados; no representan resultados de pruebas.</w:t>
      </w:r>
    </w:p>
    <w:tbl>
      <w:tblPr>
        <w:tblStyle w:val="TableGrid"/>
        <w:tblW w:type="auto" w:w="0"/>
        <w:jc w:val="center"/>
        <w:tblLayout w:type="fixed"/>
        <w:tblLook w:firstColumn="1" w:firstRow="1" w:lastColumn="0" w:lastRow="0" w:noHBand="0" w:noVBand="1" w:val="04A0"/>
      </w:tblPr>
      <w:tblGrid>
        <w:gridCol w:w="3685"/>
        <w:gridCol w:w="1644"/>
        <w:gridCol w:w="1814"/>
        <w:gridCol w:w="2041"/>
      </w:tblGrid>
      <w:tr>
        <w:trPr>
          <w:tblHeader w:val="true"/>
        </w:trPr>
        <w:tc>
          <w:tcPr>
            <w:tcW w:type="dxa" w:w="2338"/>
            <w:vAlign w:val="center"/>
            <w:shd w:fill="18485A"/>
          </w:tcPr>
          <w:p>
            <w:pPr>
              <w:spacing w:after="0"/>
            </w:pPr>
            <w:r>
              <w:rPr>
                <w:b/>
                <w:color w:val="FFFFFF"/>
                <w:sz w:val="15"/>
              </w:rPr>
              <w:t>Rama / escenario</w:t>
            </w:r>
          </w:p>
        </w:tc>
        <w:tc>
          <w:tcPr>
            <w:tcW w:type="dxa" w:w="2338"/>
            <w:vAlign w:val="center"/>
            <w:shd w:fill="18485A"/>
          </w:tcPr>
          <w:p>
            <w:pPr>
              <w:spacing w:after="0"/>
            </w:pPr>
            <w:r>
              <w:rPr>
                <w:b/>
                <w:color w:val="FFFFFF"/>
                <w:sz w:val="15"/>
              </w:rPr>
              <w:t>Importancia sugerida</w:t>
            </w:r>
          </w:p>
        </w:tc>
        <w:tc>
          <w:tcPr>
            <w:tcW w:type="dxa" w:w="2338"/>
            <w:vAlign w:val="center"/>
            <w:shd w:fill="18485A"/>
          </w:tcPr>
          <w:p>
            <w:pPr>
              <w:spacing w:after="0"/>
            </w:pPr>
            <w:r>
              <w:rPr>
                <w:b/>
                <w:color w:val="FFFFFF"/>
                <w:sz w:val="15"/>
              </w:rPr>
              <w:t>Dificultad técnica estimada</w:t>
            </w:r>
          </w:p>
        </w:tc>
        <w:tc>
          <w:tcPr>
            <w:tcW w:type="dxa" w:w="2338"/>
            <w:vAlign w:val="center"/>
            <w:shd w:fill="18485A"/>
          </w:tcPr>
          <w:p>
            <w:pPr>
              <w:spacing w:after="0"/>
            </w:pPr>
            <w:r>
              <w:rPr>
                <w:b/>
                <w:color w:val="FFFFFF"/>
                <w:sz w:val="15"/>
              </w:rPr>
              <w:t>Estado en Fase 1</w:t>
            </w:r>
          </w:p>
        </w:tc>
      </w:tr>
      <w:tr>
        <w:trPr>
          <w:cantSplit/>
        </w:trPr>
        <w:tc>
          <w:tcPr>
            <w:tcW w:type="dxa" w:w="3685"/>
            <w:vAlign w:val="top"/>
          </w:tcPr>
          <w:p>
            <w:pPr>
              <w:spacing w:after="40" w:before="20" w:line="252" w:lineRule="auto"/>
            </w:pPr>
            <w:r>
              <w:rPr>
                <w:sz w:val="15"/>
              </w:rPr>
              <w:t>Integridad – EC-01 código único</w:t>
            </w:r>
          </w:p>
        </w:tc>
        <w:tc>
          <w:tcPr>
            <w:tcW w:type="dxa" w:w="1644"/>
            <w:vAlign w:val="top"/>
          </w:tcPr>
          <w:p>
            <w:pPr>
              <w:spacing w:after="40" w:before="20" w:line="252" w:lineRule="auto"/>
            </w:pPr>
            <w:r>
              <w:rPr>
                <w:sz w:val="15"/>
              </w:rPr>
              <w:t>Alta</w:t>
            </w:r>
          </w:p>
        </w:tc>
        <w:tc>
          <w:tcPr>
            <w:tcW w:type="dxa" w:w="1814"/>
            <w:vAlign w:val="top"/>
          </w:tcPr>
          <w:p>
            <w:pPr>
              <w:spacing w:after="40" w:before="20" w:line="252" w:lineRule="auto"/>
            </w:pPr>
            <w:r>
              <w:rPr>
                <w:sz w:val="15"/>
              </w:rPr>
              <w:t>Media</w:t>
            </w:r>
          </w:p>
        </w:tc>
        <w:tc>
          <w:tcPr>
            <w:tcW w:type="dxa" w:w="2041"/>
            <w:vAlign w:val="top"/>
          </w:tcPr>
          <w:p>
            <w:pPr>
              <w:spacing w:after="40" w:before="20" w:line="252" w:lineRule="auto"/>
            </w:pPr>
            <w:r>
              <w:rPr>
                <w:sz w:val="15"/>
              </w:rPr>
              <w:t>Escenario definido; verificación de unicidad y concurrencia prevista.</w:t>
            </w:r>
          </w:p>
        </w:tc>
      </w:tr>
      <w:tr>
        <w:trPr>
          <w:cantSplit/>
        </w:trPr>
        <w:tc>
          <w:tcPr>
            <w:tcW w:type="dxa" w:w="3685"/>
            <w:vAlign w:val="top"/>
            <w:shd w:fill="F3F7F8"/>
          </w:tcPr>
          <w:p>
            <w:pPr>
              <w:spacing w:after="40" w:before="20" w:line="252" w:lineRule="auto"/>
            </w:pPr>
            <w:r>
              <w:rPr>
                <w:sz w:val="15"/>
              </w:rPr>
              <w:t>Integridad – EC-02 despacho duplicado</w:t>
            </w:r>
          </w:p>
        </w:tc>
        <w:tc>
          <w:tcPr>
            <w:tcW w:type="dxa" w:w="1644"/>
            <w:vAlign w:val="top"/>
            <w:shd w:fill="F3F7F8"/>
          </w:tcPr>
          <w:p>
            <w:pPr>
              <w:spacing w:after="40" w:before="20" w:line="252" w:lineRule="auto"/>
            </w:pPr>
            <w:r>
              <w:rPr>
                <w:sz w:val="15"/>
              </w:rPr>
              <w:t>Alta</w:t>
            </w:r>
          </w:p>
        </w:tc>
        <w:tc>
          <w:tcPr>
            <w:tcW w:type="dxa" w:w="1814"/>
            <w:vAlign w:val="top"/>
            <w:shd w:fill="F3F7F8"/>
          </w:tcPr>
          <w:p>
            <w:pPr>
              <w:spacing w:after="40" w:before="20" w:line="252" w:lineRule="auto"/>
            </w:pPr>
            <w:r>
              <w:rPr>
                <w:sz w:val="15"/>
              </w:rPr>
              <w:t>Alta</w:t>
            </w:r>
          </w:p>
        </w:tc>
        <w:tc>
          <w:tcPr>
            <w:tcW w:type="dxa" w:w="2041"/>
            <w:vAlign w:val="top"/>
            <w:shd w:fill="F3F7F8"/>
          </w:tcPr>
          <w:p>
            <w:pPr>
              <w:spacing w:after="40" w:before="20" w:line="252" w:lineRule="auto"/>
            </w:pPr>
            <w:r>
              <w:rPr>
                <w:sz w:val="15"/>
              </w:rPr>
              <w:t>Escenario definido; diseñar mecanismo de exclusión de movimientos incompatibles.</w:t>
            </w:r>
          </w:p>
        </w:tc>
      </w:tr>
      <w:tr>
        <w:trPr>
          <w:cantSplit/>
        </w:trPr>
        <w:tc>
          <w:tcPr>
            <w:tcW w:type="dxa" w:w="3685"/>
            <w:vAlign w:val="top"/>
          </w:tcPr>
          <w:p>
            <w:pPr>
              <w:spacing w:after="40" w:before="20" w:line="252" w:lineRule="auto"/>
            </w:pPr>
            <w:r>
              <w:rPr>
                <w:sz w:val="15"/>
              </w:rPr>
              <w:t>Trazabilidad – EC-03 historial QR</w:t>
            </w:r>
          </w:p>
        </w:tc>
        <w:tc>
          <w:tcPr>
            <w:tcW w:type="dxa" w:w="1644"/>
            <w:vAlign w:val="top"/>
          </w:tcPr>
          <w:p>
            <w:pPr>
              <w:spacing w:after="40" w:before="20" w:line="252" w:lineRule="auto"/>
            </w:pPr>
            <w:r>
              <w:rPr>
                <w:sz w:val="15"/>
              </w:rPr>
              <w:t>Alta</w:t>
            </w:r>
          </w:p>
        </w:tc>
        <w:tc>
          <w:tcPr>
            <w:tcW w:type="dxa" w:w="1814"/>
            <w:vAlign w:val="top"/>
          </w:tcPr>
          <w:p>
            <w:pPr>
              <w:spacing w:after="40" w:before="20" w:line="252" w:lineRule="auto"/>
            </w:pPr>
            <w:r>
              <w:rPr>
                <w:sz w:val="15"/>
              </w:rPr>
              <w:t>Media</w:t>
            </w:r>
          </w:p>
        </w:tc>
        <w:tc>
          <w:tcPr>
            <w:tcW w:type="dxa" w:w="2041"/>
            <w:vAlign w:val="top"/>
          </w:tcPr>
          <w:p>
            <w:pPr>
              <w:spacing w:after="40" w:before="20" w:line="252" w:lineRule="auto"/>
            </w:pPr>
            <w:r>
              <w:rPr>
                <w:sz w:val="15"/>
              </w:rPr>
              <w:t>Escenario definido; definir completitud, auditoría y permisos de consulta.</w:t>
            </w:r>
          </w:p>
        </w:tc>
      </w:tr>
      <w:tr>
        <w:trPr>
          <w:cantSplit/>
        </w:trPr>
        <w:tc>
          <w:tcPr>
            <w:tcW w:type="dxa" w:w="3685"/>
            <w:vAlign w:val="top"/>
            <w:shd w:fill="F3F7F8"/>
          </w:tcPr>
          <w:p>
            <w:pPr>
              <w:spacing w:after="40" w:before="20" w:line="252" w:lineRule="auto"/>
            </w:pPr>
            <w:r>
              <w:rPr>
                <w:sz w:val="15"/>
              </w:rPr>
              <w:t>Seguridad – EC-04 acceso por roles/objeto</w:t>
            </w:r>
          </w:p>
        </w:tc>
        <w:tc>
          <w:tcPr>
            <w:tcW w:type="dxa" w:w="1644"/>
            <w:vAlign w:val="top"/>
            <w:shd w:fill="F3F7F8"/>
          </w:tcPr>
          <w:p>
            <w:pPr>
              <w:spacing w:after="40" w:before="20" w:line="252" w:lineRule="auto"/>
            </w:pPr>
            <w:r>
              <w:rPr>
                <w:sz w:val="15"/>
              </w:rPr>
              <w:t>Alta</w:t>
            </w:r>
          </w:p>
        </w:tc>
        <w:tc>
          <w:tcPr>
            <w:tcW w:type="dxa" w:w="1814"/>
            <w:vAlign w:val="top"/>
            <w:shd w:fill="F3F7F8"/>
          </w:tcPr>
          <w:p>
            <w:pPr>
              <w:spacing w:after="40" w:before="20" w:line="252" w:lineRule="auto"/>
            </w:pPr>
            <w:r>
              <w:rPr>
                <w:sz w:val="15"/>
              </w:rPr>
              <w:t>Alta</w:t>
            </w:r>
          </w:p>
        </w:tc>
        <w:tc>
          <w:tcPr>
            <w:tcW w:type="dxa" w:w="2041"/>
            <w:vAlign w:val="top"/>
            <w:shd w:fill="F3F7F8"/>
          </w:tcPr>
          <w:p>
            <w:pPr>
              <w:spacing w:after="40" w:before="20" w:line="252" w:lineRule="auto"/>
            </w:pPr>
            <w:r>
              <w:rPr>
                <w:sz w:val="15"/>
              </w:rPr>
              <w:t>Escenario definido; preparar matriz de roles y políticas de API.</w:t>
            </w:r>
          </w:p>
        </w:tc>
      </w:tr>
      <w:tr>
        <w:trPr>
          <w:cantSplit/>
        </w:trPr>
        <w:tc>
          <w:tcPr>
            <w:tcW w:type="dxa" w:w="3685"/>
            <w:vAlign w:val="top"/>
          </w:tcPr>
          <w:p>
            <w:pPr>
              <w:spacing w:after="40" w:before="20" w:line="252" w:lineRule="auto"/>
            </w:pPr>
            <w:r>
              <w:rPr>
                <w:sz w:val="15"/>
              </w:rPr>
              <w:t>Movilidad – EC-05 consulta celular</w:t>
            </w:r>
          </w:p>
        </w:tc>
        <w:tc>
          <w:tcPr>
            <w:tcW w:type="dxa" w:w="1644"/>
            <w:vAlign w:val="top"/>
          </w:tcPr>
          <w:p>
            <w:pPr>
              <w:spacing w:after="40" w:before="20" w:line="252" w:lineRule="auto"/>
            </w:pPr>
            <w:r>
              <w:rPr>
                <w:sz w:val="15"/>
              </w:rPr>
              <w:t>Media</w:t>
            </w:r>
          </w:p>
        </w:tc>
        <w:tc>
          <w:tcPr>
            <w:tcW w:type="dxa" w:w="1814"/>
            <w:vAlign w:val="top"/>
          </w:tcPr>
          <w:p>
            <w:pPr>
              <w:spacing w:after="40" w:before="20" w:line="252" w:lineRule="auto"/>
            </w:pPr>
            <w:r>
              <w:rPr>
                <w:sz w:val="15"/>
              </w:rPr>
              <w:t>Media</w:t>
            </w:r>
          </w:p>
        </w:tc>
        <w:tc>
          <w:tcPr>
            <w:tcW w:type="dxa" w:w="2041"/>
            <w:vAlign w:val="top"/>
          </w:tcPr>
          <w:p>
            <w:pPr>
              <w:spacing w:after="40" w:before="20" w:line="252" w:lineRule="auto"/>
            </w:pPr>
            <w:r>
              <w:rPr>
                <w:sz w:val="15"/>
              </w:rPr>
              <w:t>Escenario definido; preparar matriz de dispositivos, redes y tiempos.</w:t>
            </w:r>
          </w:p>
        </w:tc>
      </w:tr>
      <w:tr>
        <w:trPr>
          <w:cantSplit/>
        </w:trPr>
        <w:tc>
          <w:tcPr>
            <w:tcW w:type="dxa" w:w="3685"/>
            <w:vAlign w:val="top"/>
            <w:shd w:fill="F3F7F8"/>
          </w:tcPr>
          <w:p>
            <w:pPr>
              <w:spacing w:after="40" w:before="20" w:line="252" w:lineRule="auto"/>
            </w:pPr>
            <w:r>
              <w:rPr>
                <w:sz w:val="15"/>
              </w:rPr>
              <w:t>Recuperabilidad – EC-06 caída de datos</w:t>
            </w:r>
          </w:p>
        </w:tc>
        <w:tc>
          <w:tcPr>
            <w:tcW w:type="dxa" w:w="1644"/>
            <w:vAlign w:val="top"/>
            <w:shd w:fill="F3F7F8"/>
          </w:tcPr>
          <w:p>
            <w:pPr>
              <w:spacing w:after="40" w:before="20" w:line="252" w:lineRule="auto"/>
            </w:pPr>
            <w:r>
              <w:rPr>
                <w:sz w:val="15"/>
              </w:rPr>
              <w:t>Alta</w:t>
            </w:r>
          </w:p>
        </w:tc>
        <w:tc>
          <w:tcPr>
            <w:tcW w:type="dxa" w:w="1814"/>
            <w:vAlign w:val="top"/>
            <w:shd w:fill="F3F7F8"/>
          </w:tcPr>
          <w:p>
            <w:pPr>
              <w:spacing w:after="40" w:before="20" w:line="252" w:lineRule="auto"/>
            </w:pPr>
            <w:r>
              <w:rPr>
                <w:sz w:val="15"/>
              </w:rPr>
              <w:t>Alta</w:t>
            </w:r>
          </w:p>
        </w:tc>
        <w:tc>
          <w:tcPr>
            <w:tcW w:type="dxa" w:w="2041"/>
            <w:vAlign w:val="top"/>
            <w:shd w:fill="F3F7F8"/>
          </w:tcPr>
          <w:p>
            <w:pPr>
              <w:spacing w:after="40" w:before="20" w:line="252" w:lineRule="auto"/>
            </w:pPr>
            <w:r>
              <w:rPr>
                <w:sz w:val="15"/>
              </w:rPr>
              <w:t>Escenario definido; acordar respaldos y objetivos RTO/RPO.</w:t>
            </w:r>
          </w:p>
        </w:tc>
      </w:tr>
      <w:tr>
        <w:trPr>
          <w:cantSplit/>
        </w:trPr>
        <w:tc>
          <w:tcPr>
            <w:tcW w:type="dxa" w:w="3685"/>
            <w:vAlign w:val="top"/>
          </w:tcPr>
          <w:p>
            <w:pPr>
              <w:spacing w:after="40" w:before="20" w:line="252" w:lineRule="auto"/>
            </w:pPr>
            <w:r>
              <w:rPr>
                <w:sz w:val="15"/>
              </w:rPr>
              <w:t>Integridad – EC-07 pesaje</w:t>
            </w:r>
          </w:p>
        </w:tc>
        <w:tc>
          <w:tcPr>
            <w:tcW w:type="dxa" w:w="1644"/>
            <w:vAlign w:val="top"/>
          </w:tcPr>
          <w:p>
            <w:pPr>
              <w:spacing w:after="40" w:before="20" w:line="252" w:lineRule="auto"/>
            </w:pPr>
            <w:r>
              <w:rPr>
                <w:sz w:val="15"/>
              </w:rPr>
              <w:t>Alta</w:t>
            </w:r>
          </w:p>
        </w:tc>
        <w:tc>
          <w:tcPr>
            <w:tcW w:type="dxa" w:w="1814"/>
            <w:vAlign w:val="top"/>
          </w:tcPr>
          <w:p>
            <w:pPr>
              <w:spacing w:after="40" w:before="20" w:line="252" w:lineRule="auto"/>
            </w:pPr>
            <w:r>
              <w:rPr>
                <w:sz w:val="15"/>
              </w:rPr>
              <w:t>Alta</w:t>
            </w:r>
          </w:p>
        </w:tc>
        <w:tc>
          <w:tcPr>
            <w:tcW w:type="dxa" w:w="2041"/>
            <w:vAlign w:val="top"/>
          </w:tcPr>
          <w:p>
            <w:pPr>
              <w:spacing w:after="40" w:before="20" w:line="252" w:lineRule="auto"/>
            </w:pPr>
            <w:r>
              <w:rPr>
                <w:sz w:val="15"/>
              </w:rPr>
              <w:t>Escenario definido; acordar tara, unidades, tolerancias y conciliación.</w:t>
            </w:r>
          </w:p>
        </w:tc>
      </w:tr>
      <w:tr>
        <w:trPr>
          <w:cantSplit/>
        </w:trPr>
        <w:tc>
          <w:tcPr>
            <w:tcW w:type="dxa" w:w="3685"/>
            <w:vAlign w:val="top"/>
            <w:shd w:fill="F3F7F8"/>
          </w:tcPr>
          <w:p>
            <w:pPr>
              <w:spacing w:after="40" w:before="20" w:line="252" w:lineRule="auto"/>
            </w:pPr>
            <w:r>
              <w:rPr>
                <w:sz w:val="15"/>
              </w:rPr>
              <w:t>Offline – EC-08 sincronización</w:t>
            </w:r>
          </w:p>
        </w:tc>
        <w:tc>
          <w:tcPr>
            <w:tcW w:type="dxa" w:w="1644"/>
            <w:vAlign w:val="top"/>
            <w:shd w:fill="F3F7F8"/>
          </w:tcPr>
          <w:p>
            <w:pPr>
              <w:spacing w:after="40" w:before="20" w:line="252" w:lineRule="auto"/>
            </w:pPr>
            <w:r>
              <w:rPr>
                <w:sz w:val="15"/>
              </w:rPr>
              <w:t>Por confirmar</w:t>
            </w:r>
          </w:p>
        </w:tc>
        <w:tc>
          <w:tcPr>
            <w:tcW w:type="dxa" w:w="1814"/>
            <w:vAlign w:val="top"/>
            <w:shd w:fill="F3F7F8"/>
          </w:tcPr>
          <w:p>
            <w:pPr>
              <w:spacing w:after="40" w:before="20" w:line="252" w:lineRule="auto"/>
            </w:pPr>
            <w:r>
              <w:rPr>
                <w:sz w:val="15"/>
              </w:rPr>
              <w:t>Alta</w:t>
            </w:r>
          </w:p>
        </w:tc>
        <w:tc>
          <w:tcPr>
            <w:tcW w:type="dxa" w:w="2041"/>
            <w:vAlign w:val="top"/>
            <w:shd w:fill="F3F7F8"/>
          </w:tcPr>
          <w:p>
            <w:pPr>
              <w:spacing w:after="40" w:before="20" w:line="252" w:lineRule="auto"/>
            </w:pPr>
            <w:r>
              <w:rPr>
                <w:sz w:val="15"/>
              </w:rPr>
              <w:t>Capacidad planificada; diseñar resolución de conflictos e idempotencia.</w:t>
            </w:r>
          </w:p>
        </w:tc>
      </w:tr>
      <w:tr>
        <w:trPr>
          <w:cantSplit/>
        </w:trPr>
        <w:tc>
          <w:tcPr>
            <w:tcW w:type="dxa" w:w="3685"/>
            <w:vAlign w:val="top"/>
          </w:tcPr>
          <w:p>
            <w:pPr>
              <w:spacing w:after="40" w:before="20" w:line="252" w:lineRule="auto"/>
            </w:pPr>
            <w:r>
              <w:rPr>
                <w:sz w:val="15"/>
              </w:rPr>
              <w:t>Interoperabilidad – EC-09 Azure/BI</w:t>
            </w:r>
          </w:p>
        </w:tc>
        <w:tc>
          <w:tcPr>
            <w:tcW w:type="dxa" w:w="1644"/>
            <w:vAlign w:val="top"/>
          </w:tcPr>
          <w:p>
            <w:pPr>
              <w:spacing w:after="40" w:before="20" w:line="252" w:lineRule="auto"/>
            </w:pPr>
            <w:r>
              <w:rPr>
                <w:sz w:val="15"/>
              </w:rPr>
              <w:t>Por confirmar</w:t>
            </w:r>
          </w:p>
        </w:tc>
        <w:tc>
          <w:tcPr>
            <w:tcW w:type="dxa" w:w="1814"/>
            <w:vAlign w:val="top"/>
          </w:tcPr>
          <w:p>
            <w:pPr>
              <w:spacing w:after="40" w:before="20" w:line="252" w:lineRule="auto"/>
            </w:pPr>
            <w:r>
              <w:rPr>
                <w:sz w:val="15"/>
              </w:rPr>
              <w:t>Media/alta</w:t>
            </w:r>
          </w:p>
        </w:tc>
        <w:tc>
          <w:tcPr>
            <w:tcW w:type="dxa" w:w="2041"/>
            <w:vAlign w:val="top"/>
          </w:tcPr>
          <w:p>
            <w:pPr>
              <w:spacing w:after="40" w:before="20" w:line="252" w:lineRule="auto"/>
            </w:pPr>
            <w:r>
              <w:rPr>
                <w:sz w:val="15"/>
              </w:rPr>
              <w:t>Integraciones planificadas; delimitar interfaces y seguridad.</w:t>
            </w:r>
          </w:p>
        </w:tc>
      </w:tr>
    </w:tbl>
    <w:p>
      <w:pPr>
        <w:spacing w:after="20"/>
      </w:pPr>
    </w:p>
    <w:p>
      <w:r>
        <w:t>La importancia y dificultad son una priorización preliminar de Fase 1, no un puntaje automático ni una votación efectuada. Servirán para seleccionar los escenarios que los interesados consideren relevantes al ejecutar la evaluación formal.</w:t>
      </w:r>
    </w:p>
    <w:p>
      <w:pPr>
        <w:pStyle w:val="Heading2"/>
      </w:pPr>
      <w:r>
        <w:t>Catálogo detallado de escenarios de calidad</w:t>
      </w:r>
    </w:p>
    <w:p>
      <w:pPr>
        <w:pStyle w:val="Heading3"/>
      </w:pPr>
      <w:r>
        <w:t>EC-01 · Código único del cilindro</w:t>
      </w:r>
    </w:p>
    <w:tbl>
      <w:tblPr>
        <w:tblStyle w:val="TableGrid"/>
        <w:tblW w:type="auto" w:w="0"/>
        <w:jc w:val="center"/>
        <w:tblLayout w:type="fixed"/>
        <w:tblLook w:firstColumn="1" w:firstRow="1" w:lastColumn="0" w:lastRow="0" w:noHBand="0" w:noVBand="1" w:val="04A0"/>
      </w:tblPr>
      <w:tblGrid>
        <w:gridCol w:w="2268"/>
        <w:gridCol w:w="6917"/>
      </w:tblGrid>
      <w:tr>
        <w:trPr>
          <w:tblHeader w:val="true"/>
        </w:trPr>
        <w:tc>
          <w:tcPr>
            <w:tcW w:type="dxa" w:w="4677"/>
            <w:vAlign w:val="center"/>
            <w:shd w:fill="18485A"/>
          </w:tcPr>
          <w:p>
            <w:pPr>
              <w:spacing w:after="0"/>
            </w:pPr>
            <w:r>
              <w:rPr>
                <w:b/>
                <w:color w:val="FFFFFF"/>
                <w:sz w:val="16"/>
              </w:rPr>
              <w:t>Campo</w:t>
            </w:r>
          </w:p>
        </w:tc>
        <w:tc>
          <w:tcPr>
            <w:tcW w:type="dxa" w:w="4677"/>
            <w:vAlign w:val="center"/>
            <w:shd w:fill="18485A"/>
          </w:tcPr>
          <w:p>
            <w:pPr>
              <w:spacing w:after="0"/>
            </w:pPr>
            <w:r>
              <w:rPr>
                <w:b/>
                <w:color w:val="FFFFFF"/>
                <w:sz w:val="16"/>
              </w:rPr>
              <w:t>Definición para AFRISAN</w:t>
            </w:r>
          </w:p>
        </w:tc>
      </w:tr>
      <w:tr>
        <w:trPr>
          <w:cantSplit/>
        </w:trPr>
        <w:tc>
          <w:tcPr>
            <w:tcW w:type="dxa" w:w="2268"/>
            <w:vAlign w:val="top"/>
          </w:tcPr>
          <w:p>
            <w:pPr>
              <w:spacing w:after="40" w:before="20" w:line="252" w:lineRule="auto"/>
            </w:pPr>
            <w:r>
              <w:rPr>
                <w:sz w:val="16"/>
              </w:rPr>
              <w:t>Atributo</w:t>
            </w:r>
          </w:p>
        </w:tc>
        <w:tc>
          <w:tcPr>
            <w:tcW w:type="dxa" w:w="6917"/>
            <w:vAlign w:val="top"/>
          </w:tcPr>
          <w:p>
            <w:pPr>
              <w:spacing w:after="40" w:before="20" w:line="252" w:lineRule="auto"/>
            </w:pPr>
            <w:r>
              <w:rPr>
                <w:sz w:val="16"/>
              </w:rPr>
              <w:t>Integridad</w:t>
            </w:r>
          </w:p>
        </w:tc>
      </w:tr>
      <w:tr>
        <w:trPr>
          <w:cantSplit/>
        </w:trPr>
        <w:tc>
          <w:tcPr>
            <w:tcW w:type="dxa" w:w="2268"/>
            <w:vAlign w:val="top"/>
            <w:shd w:fill="F3F7F8"/>
          </w:tcPr>
          <w:p>
            <w:pPr>
              <w:spacing w:after="40" w:before="20" w:line="252" w:lineRule="auto"/>
            </w:pPr>
            <w:r>
              <w:rPr>
                <w:sz w:val="16"/>
              </w:rPr>
              <w:t>Fuente del estímulo</w:t>
            </w:r>
          </w:p>
        </w:tc>
        <w:tc>
          <w:tcPr>
            <w:tcW w:type="dxa" w:w="6917"/>
            <w:vAlign w:val="top"/>
            <w:shd w:fill="F3F7F8"/>
          </w:tcPr>
          <w:p>
            <w:pPr>
              <w:spacing w:after="40" w:before="20" w:line="252" w:lineRule="auto"/>
            </w:pPr>
            <w:r>
              <w:rPr>
                <w:sz w:val="16"/>
              </w:rPr>
              <w:t>Operador de inventario</w:t>
            </w:r>
          </w:p>
        </w:tc>
      </w:tr>
      <w:tr>
        <w:trPr>
          <w:cantSplit/>
        </w:trPr>
        <w:tc>
          <w:tcPr>
            <w:tcW w:type="dxa" w:w="2268"/>
            <w:vAlign w:val="top"/>
          </w:tcPr>
          <w:p>
            <w:pPr>
              <w:spacing w:after="40" w:before="20" w:line="252" w:lineRule="auto"/>
            </w:pPr>
            <w:r>
              <w:rPr>
                <w:sz w:val="16"/>
              </w:rPr>
              <w:t>Estímulo</w:t>
            </w:r>
          </w:p>
        </w:tc>
        <w:tc>
          <w:tcPr>
            <w:tcW w:type="dxa" w:w="6917"/>
            <w:vAlign w:val="top"/>
          </w:tcPr>
          <w:p>
            <w:pPr>
              <w:spacing w:after="40" w:before="20" w:line="252" w:lineRule="auto"/>
            </w:pPr>
            <w:r>
              <w:rPr>
                <w:sz w:val="16"/>
              </w:rPr>
              <w:t>Solicita crear dos cilindros con códigos iguales o se produce una colisión de generación.</w:t>
            </w:r>
          </w:p>
        </w:tc>
      </w:tr>
      <w:tr>
        <w:trPr>
          <w:cantSplit/>
        </w:trPr>
        <w:tc>
          <w:tcPr>
            <w:tcW w:type="dxa" w:w="2268"/>
            <w:vAlign w:val="top"/>
            <w:shd w:fill="F3F7F8"/>
          </w:tcPr>
          <w:p>
            <w:pPr>
              <w:spacing w:after="40" w:before="20" w:line="252" w:lineRule="auto"/>
            </w:pPr>
            <w:r>
              <w:rPr>
                <w:sz w:val="16"/>
              </w:rPr>
              <w:t>Entorno</w:t>
            </w:r>
          </w:p>
        </w:tc>
        <w:tc>
          <w:tcPr>
            <w:tcW w:type="dxa" w:w="6917"/>
            <w:vAlign w:val="top"/>
            <w:shd w:fill="F3F7F8"/>
          </w:tcPr>
          <w:p>
            <w:pPr>
              <w:spacing w:after="40" w:before="20" w:line="252" w:lineRule="auto"/>
            </w:pPr>
            <w:r>
              <w:rPr>
                <w:sz w:val="16"/>
              </w:rPr>
              <w:t>Operación normal; considerar dos solicitudes simultáneas.</w:t>
            </w:r>
          </w:p>
        </w:tc>
      </w:tr>
      <w:tr>
        <w:trPr>
          <w:cantSplit/>
        </w:trPr>
        <w:tc>
          <w:tcPr>
            <w:tcW w:type="dxa" w:w="2268"/>
            <w:vAlign w:val="top"/>
          </w:tcPr>
          <w:p>
            <w:pPr>
              <w:spacing w:after="40" w:before="20" w:line="252" w:lineRule="auto"/>
            </w:pPr>
            <w:r>
              <w:rPr>
                <w:sz w:val="16"/>
              </w:rPr>
              <w:t>Artefacto</w:t>
            </w:r>
          </w:p>
        </w:tc>
        <w:tc>
          <w:tcPr>
            <w:tcW w:type="dxa" w:w="6917"/>
            <w:vAlign w:val="top"/>
          </w:tcPr>
          <w:p>
            <w:pPr>
              <w:spacing w:after="40" w:before="20" w:line="252" w:lineRule="auto"/>
            </w:pPr>
            <w:r>
              <w:rPr>
                <w:sz w:val="16"/>
              </w:rPr>
              <w:t>API y restricción de unicidad PostgreSQL.</w:t>
            </w:r>
          </w:p>
        </w:tc>
      </w:tr>
      <w:tr>
        <w:trPr>
          <w:cantSplit/>
        </w:trPr>
        <w:tc>
          <w:tcPr>
            <w:tcW w:type="dxa" w:w="2268"/>
            <w:vAlign w:val="top"/>
            <w:shd w:fill="F3F7F8"/>
          </w:tcPr>
          <w:p>
            <w:pPr>
              <w:spacing w:after="40" w:before="20" w:line="252" w:lineRule="auto"/>
            </w:pPr>
            <w:r>
              <w:rPr>
                <w:sz w:val="16"/>
              </w:rPr>
              <w:t>Respuesta esperada</w:t>
            </w:r>
          </w:p>
        </w:tc>
        <w:tc>
          <w:tcPr>
            <w:tcW w:type="dxa" w:w="6917"/>
            <w:vAlign w:val="top"/>
            <w:shd w:fill="F3F7F8"/>
          </w:tcPr>
          <w:p>
            <w:pPr>
              <w:spacing w:after="40" w:before="20" w:line="252" w:lineRule="auto"/>
            </w:pPr>
            <w:r>
              <w:rPr>
                <w:sz w:val="16"/>
              </w:rPr>
              <w:t>El sistema persiste a lo sumo un cilindro por código y responde la solicitud conflictiva sin crear un registro duplicado.</w:t>
            </w:r>
          </w:p>
        </w:tc>
      </w:tr>
      <w:tr>
        <w:trPr>
          <w:cantSplit/>
        </w:trPr>
        <w:tc>
          <w:tcPr>
            <w:tcW w:type="dxa" w:w="2268"/>
            <w:vAlign w:val="top"/>
          </w:tcPr>
          <w:p>
            <w:pPr>
              <w:spacing w:after="40" w:before="20" w:line="252" w:lineRule="auto"/>
            </w:pPr>
            <w:r>
              <w:rPr>
                <w:sz w:val="16"/>
              </w:rPr>
              <w:t>Medida de respuesta</w:t>
            </w:r>
          </w:p>
        </w:tc>
        <w:tc>
          <w:tcPr>
            <w:tcW w:type="dxa" w:w="6917"/>
            <w:vAlign w:val="top"/>
          </w:tcPr>
          <w:p>
            <w:pPr>
              <w:spacing w:after="40" w:before="20" w:line="252" w:lineRule="auto"/>
            </w:pPr>
            <w:r>
              <w:rPr>
                <w:sz w:val="16"/>
              </w:rPr>
              <w:t>0 códigos duplicados al ejecutar la batería de inserción secuencial y concurrente; registrar códigos, respuestas HTTP y consulta de comprobación.</w:t>
            </w:r>
          </w:p>
        </w:tc>
      </w:tr>
      <w:tr>
        <w:trPr>
          <w:cantSplit/>
        </w:trPr>
        <w:tc>
          <w:tcPr>
            <w:tcW w:type="dxa" w:w="2268"/>
            <w:vAlign w:val="top"/>
            <w:shd w:fill="F3F7F8"/>
          </w:tcPr>
          <w:p>
            <w:pPr>
              <w:spacing w:after="40" w:before="20" w:line="252" w:lineRule="auto"/>
            </w:pPr>
            <w:r>
              <w:rPr>
                <w:sz w:val="16"/>
              </w:rPr>
              <w:t>Estado de evaluación</w:t>
            </w:r>
          </w:p>
        </w:tc>
        <w:tc>
          <w:tcPr>
            <w:tcW w:type="dxa" w:w="6917"/>
            <w:vAlign w:val="top"/>
            <w:shd w:fill="F3F7F8"/>
          </w:tcPr>
          <w:p>
            <w:pPr>
              <w:spacing w:after="40" w:before="20" w:line="252" w:lineRule="auto"/>
            </w:pPr>
            <w:r>
              <w:rPr>
                <w:sz w:val="16"/>
              </w:rPr>
              <w:t>D: proponer generación controlada e índice UNIQUE. V: ejecutar pruebas secuenciales y concurrentes en fase de implementación.</w:t>
            </w:r>
          </w:p>
        </w:tc>
      </w:tr>
    </w:tbl>
    <w:p>
      <w:pPr>
        <w:spacing w:after="20"/>
      </w:pPr>
    </w:p>
    <w:p>
      <w:r>
        <w:rPr>
          <w:b/>
        </w:rPr>
        <w:t xml:space="preserve">Enfoque arquitectónico: </w:t>
      </w:r>
      <w:r>
        <w:t>Generación automática de código en flujo controlado y restricción UNIQUE a nivel de persistencia.</w:t>
      </w:r>
    </w:p>
    <w:p>
      <w:r>
        <w:rPr>
          <w:b/>
        </w:rPr>
        <w:t xml:space="preserve">Evidencia de Fase 1: </w:t>
      </w:r>
      <w:r>
        <w:t>diseño propuesto de generación automática y unicidad; la documentación de implementación y resultados de prueba se recopilarán en fases posteriores.</w:t>
      </w:r>
    </w:p>
    <w:p>
      <w:r>
        <w:rPr>
          <w:b/>
        </w:rPr>
        <w:t xml:space="preserve">Límite de la evaluación: </w:t>
      </w:r>
      <w:r>
        <w:t>sin ejecutar solicitudes ni comprobar el esquema desplegado no puede afirmarse que la restricción evita colisiones operativas.</w:t>
      </w:r>
    </w:p>
    <w:p>
      <w:pPr>
        <w:pStyle w:val="Heading3"/>
      </w:pPr>
      <w:r>
        <w:t>EC-02 · Despacho duplicado y concurrencia</w:t>
      </w:r>
    </w:p>
    <w:tbl>
      <w:tblPr>
        <w:tblStyle w:val="TableGrid"/>
        <w:tblW w:type="auto" w:w="0"/>
        <w:jc w:val="center"/>
        <w:tblLayout w:type="fixed"/>
        <w:tblLook w:firstColumn="1" w:firstRow="1" w:lastColumn="0" w:lastRow="0" w:noHBand="0" w:noVBand="1" w:val="04A0"/>
      </w:tblPr>
      <w:tblGrid>
        <w:gridCol w:w="2268"/>
        <w:gridCol w:w="6917"/>
      </w:tblGrid>
      <w:tr>
        <w:trPr>
          <w:tblHeader w:val="true"/>
        </w:trPr>
        <w:tc>
          <w:tcPr>
            <w:tcW w:type="dxa" w:w="4677"/>
            <w:vAlign w:val="center"/>
            <w:shd w:fill="18485A"/>
          </w:tcPr>
          <w:p>
            <w:pPr>
              <w:spacing w:after="0"/>
            </w:pPr>
            <w:r>
              <w:rPr>
                <w:b/>
                <w:color w:val="FFFFFF"/>
                <w:sz w:val="16"/>
              </w:rPr>
              <w:t>Campo</w:t>
            </w:r>
          </w:p>
        </w:tc>
        <w:tc>
          <w:tcPr>
            <w:tcW w:type="dxa" w:w="4677"/>
            <w:vAlign w:val="center"/>
            <w:shd w:fill="18485A"/>
          </w:tcPr>
          <w:p>
            <w:pPr>
              <w:spacing w:after="0"/>
            </w:pPr>
            <w:r>
              <w:rPr>
                <w:b/>
                <w:color w:val="FFFFFF"/>
                <w:sz w:val="16"/>
              </w:rPr>
              <w:t>Definición para AFRISAN</w:t>
            </w:r>
          </w:p>
        </w:tc>
      </w:tr>
      <w:tr>
        <w:trPr>
          <w:cantSplit/>
        </w:trPr>
        <w:tc>
          <w:tcPr>
            <w:tcW w:type="dxa" w:w="2268"/>
            <w:vAlign w:val="top"/>
          </w:tcPr>
          <w:p>
            <w:pPr>
              <w:spacing w:after="40" w:before="20" w:line="252" w:lineRule="auto"/>
            </w:pPr>
            <w:r>
              <w:rPr>
                <w:sz w:val="16"/>
              </w:rPr>
              <w:t>Atributo</w:t>
            </w:r>
          </w:p>
        </w:tc>
        <w:tc>
          <w:tcPr>
            <w:tcW w:type="dxa" w:w="6917"/>
            <w:vAlign w:val="top"/>
          </w:tcPr>
          <w:p>
            <w:pPr>
              <w:spacing w:after="40" w:before="20" w:line="252" w:lineRule="auto"/>
            </w:pPr>
            <w:r>
              <w:rPr>
                <w:sz w:val="16"/>
              </w:rPr>
              <w:t>Integridad / consistencia</w:t>
            </w:r>
          </w:p>
        </w:tc>
      </w:tr>
      <w:tr>
        <w:trPr>
          <w:cantSplit/>
        </w:trPr>
        <w:tc>
          <w:tcPr>
            <w:tcW w:type="dxa" w:w="2268"/>
            <w:vAlign w:val="top"/>
            <w:shd w:fill="F3F7F8"/>
          </w:tcPr>
          <w:p>
            <w:pPr>
              <w:spacing w:after="40" w:before="20" w:line="252" w:lineRule="auto"/>
            </w:pPr>
            <w:r>
              <w:rPr>
                <w:sz w:val="16"/>
              </w:rPr>
              <w:t>Fuente del estímulo</w:t>
            </w:r>
          </w:p>
        </w:tc>
        <w:tc>
          <w:tcPr>
            <w:tcW w:type="dxa" w:w="6917"/>
            <w:vAlign w:val="top"/>
            <w:shd w:fill="F3F7F8"/>
          </w:tcPr>
          <w:p>
            <w:pPr>
              <w:spacing w:after="40" w:before="20" w:line="252" w:lineRule="auto"/>
            </w:pPr>
            <w:r>
              <w:rPr>
                <w:sz w:val="16"/>
              </w:rPr>
              <w:t>Dos operadores o dos solicitudes del mismo operador</w:t>
            </w:r>
          </w:p>
        </w:tc>
      </w:tr>
      <w:tr>
        <w:trPr>
          <w:cantSplit/>
        </w:trPr>
        <w:tc>
          <w:tcPr>
            <w:tcW w:type="dxa" w:w="2268"/>
            <w:vAlign w:val="top"/>
          </w:tcPr>
          <w:p>
            <w:pPr>
              <w:spacing w:after="40" w:before="20" w:line="252" w:lineRule="auto"/>
            </w:pPr>
            <w:r>
              <w:rPr>
                <w:sz w:val="16"/>
              </w:rPr>
              <w:t>Estímulo</w:t>
            </w:r>
          </w:p>
        </w:tc>
        <w:tc>
          <w:tcPr>
            <w:tcW w:type="dxa" w:w="6917"/>
            <w:vAlign w:val="top"/>
          </w:tcPr>
          <w:p>
            <w:pPr>
              <w:spacing w:after="40" w:before="20" w:line="252" w:lineRule="auto"/>
            </w:pPr>
            <w:r>
              <w:rPr>
                <w:sz w:val="16"/>
              </w:rPr>
              <w:t>Intentan despachar simultáneamente el mismo cilindro disponible.</w:t>
            </w:r>
          </w:p>
        </w:tc>
      </w:tr>
      <w:tr>
        <w:trPr>
          <w:cantSplit/>
        </w:trPr>
        <w:tc>
          <w:tcPr>
            <w:tcW w:type="dxa" w:w="2268"/>
            <w:vAlign w:val="top"/>
            <w:shd w:fill="F3F7F8"/>
          </w:tcPr>
          <w:p>
            <w:pPr>
              <w:spacing w:after="40" w:before="20" w:line="252" w:lineRule="auto"/>
            </w:pPr>
            <w:r>
              <w:rPr>
                <w:sz w:val="16"/>
              </w:rPr>
              <w:t>Entorno</w:t>
            </w:r>
          </w:p>
        </w:tc>
        <w:tc>
          <w:tcPr>
            <w:tcW w:type="dxa" w:w="6917"/>
            <w:vAlign w:val="top"/>
            <w:shd w:fill="F3F7F8"/>
          </w:tcPr>
          <w:p>
            <w:pPr>
              <w:spacing w:after="40" w:before="20" w:line="252" w:lineRule="auto"/>
            </w:pPr>
            <w:r>
              <w:rPr>
                <w:sz w:val="16"/>
              </w:rPr>
              <w:t>Ambas solicitudes llegan antes de que cualquiera concluya.</w:t>
            </w:r>
          </w:p>
        </w:tc>
      </w:tr>
      <w:tr>
        <w:trPr>
          <w:cantSplit/>
        </w:trPr>
        <w:tc>
          <w:tcPr>
            <w:tcW w:type="dxa" w:w="2268"/>
            <w:vAlign w:val="top"/>
          </w:tcPr>
          <w:p>
            <w:pPr>
              <w:spacing w:after="40" w:before="20" w:line="252" w:lineRule="auto"/>
            </w:pPr>
            <w:r>
              <w:rPr>
                <w:sz w:val="16"/>
              </w:rPr>
              <w:t>Artefacto</w:t>
            </w:r>
          </w:p>
        </w:tc>
        <w:tc>
          <w:tcPr>
            <w:tcW w:type="dxa" w:w="6917"/>
            <w:vAlign w:val="top"/>
          </w:tcPr>
          <w:p>
            <w:pPr>
              <w:spacing w:after="40" w:before="20" w:line="252" w:lineRule="auto"/>
            </w:pPr>
            <w:r>
              <w:rPr>
                <w:sz w:val="16"/>
              </w:rPr>
              <w:t>API de movimientos, estado del cilindro, transacción de base de datos.</w:t>
            </w:r>
          </w:p>
        </w:tc>
      </w:tr>
      <w:tr>
        <w:trPr>
          <w:cantSplit/>
        </w:trPr>
        <w:tc>
          <w:tcPr>
            <w:tcW w:type="dxa" w:w="2268"/>
            <w:vAlign w:val="top"/>
            <w:shd w:fill="F3F7F8"/>
          </w:tcPr>
          <w:p>
            <w:pPr>
              <w:spacing w:after="40" w:before="20" w:line="252" w:lineRule="auto"/>
            </w:pPr>
            <w:r>
              <w:rPr>
                <w:sz w:val="16"/>
              </w:rPr>
              <w:t>Respuesta esperada</w:t>
            </w:r>
          </w:p>
        </w:tc>
        <w:tc>
          <w:tcPr>
            <w:tcW w:type="dxa" w:w="6917"/>
            <w:vAlign w:val="top"/>
            <w:shd w:fill="F3F7F8"/>
          </w:tcPr>
          <w:p>
            <w:pPr>
              <w:spacing w:after="40" w:before="20" w:line="252" w:lineRule="auto"/>
            </w:pPr>
            <w:r>
              <w:rPr>
                <w:sz w:val="16"/>
              </w:rPr>
              <w:t>Se registra exactamente un despacho activo y la otra operación se rechaza de forma consistente, sin movimientos incompatibles.</w:t>
            </w:r>
          </w:p>
        </w:tc>
      </w:tr>
      <w:tr>
        <w:trPr>
          <w:cantSplit/>
        </w:trPr>
        <w:tc>
          <w:tcPr>
            <w:tcW w:type="dxa" w:w="2268"/>
            <w:vAlign w:val="top"/>
          </w:tcPr>
          <w:p>
            <w:pPr>
              <w:spacing w:after="40" w:before="20" w:line="252" w:lineRule="auto"/>
            </w:pPr>
            <w:r>
              <w:rPr>
                <w:sz w:val="16"/>
              </w:rPr>
              <w:t>Medida de respuesta</w:t>
            </w:r>
          </w:p>
        </w:tc>
        <w:tc>
          <w:tcPr>
            <w:tcW w:type="dxa" w:w="6917"/>
            <w:vAlign w:val="top"/>
          </w:tcPr>
          <w:p>
            <w:pPr>
              <w:spacing w:after="40" w:before="20" w:line="252" w:lineRule="auto"/>
            </w:pPr>
            <w:r>
              <w:rPr>
                <w:sz w:val="16"/>
              </w:rPr>
              <w:t>1 despacho activo como máximo por cilindro; una solicitud exitosa y otra rechazada o reintentada controladamente, sin doble movimiento.</w:t>
            </w:r>
          </w:p>
        </w:tc>
      </w:tr>
      <w:tr>
        <w:trPr>
          <w:cantSplit/>
        </w:trPr>
        <w:tc>
          <w:tcPr>
            <w:tcW w:type="dxa" w:w="2268"/>
            <w:vAlign w:val="top"/>
            <w:shd w:fill="F3F7F8"/>
          </w:tcPr>
          <w:p>
            <w:pPr>
              <w:spacing w:after="40" w:before="20" w:line="252" w:lineRule="auto"/>
            </w:pPr>
            <w:r>
              <w:rPr>
                <w:sz w:val="16"/>
              </w:rPr>
              <w:t>Estado de evaluación</w:t>
            </w:r>
          </w:p>
        </w:tc>
        <w:tc>
          <w:tcPr>
            <w:tcW w:type="dxa" w:w="6917"/>
            <w:vAlign w:val="top"/>
            <w:shd w:fill="F3F7F8"/>
          </w:tcPr>
          <w:p>
            <w:pPr>
              <w:spacing w:after="40" w:before="20" w:line="252" w:lineRule="auto"/>
            </w:pPr>
            <w:r>
              <w:rPr>
                <w:sz w:val="16"/>
              </w:rPr>
              <w:t>D: exigir comprobación y escritura atómicas. V: realizar pruebas con despachos simultáneos y verificar estado/historial.</w:t>
            </w:r>
          </w:p>
        </w:tc>
      </w:tr>
    </w:tbl>
    <w:p>
      <w:pPr>
        <w:spacing w:after="20"/>
      </w:pPr>
    </w:p>
    <w:p>
      <w:r>
        <w:rPr>
          <w:b/>
        </w:rPr>
        <w:t xml:space="preserve">Enfoque arquitectónico: </w:t>
      </w:r>
      <w:r>
        <w:t>Comprobar de forma atómica el estado y escribir el movimiento mediante transacción/bloqueo o actualización condicional equivalente.</w:t>
      </w:r>
    </w:p>
    <w:p>
      <w:r>
        <w:rPr>
          <w:b/>
        </w:rPr>
        <w:t xml:space="preserve">Evidencia de Fase 1: </w:t>
      </w:r>
      <w:r>
        <w:t>escenario de despacho concurrente y requisito de transición de estado definidos para orientar el diseño.</w:t>
      </w:r>
    </w:p>
    <w:p>
      <w:r>
        <w:rPr>
          <w:b/>
        </w:rPr>
        <w:t xml:space="preserve">Límite de la evaluación: </w:t>
      </w:r>
      <w:r>
        <w:t>una validación previa a la escritura no basta frente a solicitudes simultáneas; el mecanismo atómico deberá verificarse posteriormente.</w:t>
      </w:r>
    </w:p>
    <w:p>
      <w:pPr>
        <w:pStyle w:val="Heading3"/>
      </w:pPr>
      <w:r>
        <w:t>EC-03 · Historial consultable mediante QR</w:t>
      </w:r>
    </w:p>
    <w:tbl>
      <w:tblPr>
        <w:tblStyle w:val="TableGrid"/>
        <w:tblW w:type="auto" w:w="0"/>
        <w:jc w:val="center"/>
        <w:tblLayout w:type="fixed"/>
        <w:tblLook w:firstColumn="1" w:firstRow="1" w:lastColumn="0" w:lastRow="0" w:noHBand="0" w:noVBand="1" w:val="04A0"/>
      </w:tblPr>
      <w:tblGrid>
        <w:gridCol w:w="2268"/>
        <w:gridCol w:w="6917"/>
      </w:tblGrid>
      <w:tr>
        <w:trPr>
          <w:tblHeader w:val="true"/>
        </w:trPr>
        <w:tc>
          <w:tcPr>
            <w:tcW w:type="dxa" w:w="4677"/>
            <w:vAlign w:val="center"/>
            <w:shd w:fill="18485A"/>
          </w:tcPr>
          <w:p>
            <w:pPr>
              <w:spacing w:after="0"/>
            </w:pPr>
            <w:r>
              <w:rPr>
                <w:b/>
                <w:color w:val="FFFFFF"/>
                <w:sz w:val="16"/>
              </w:rPr>
              <w:t>Campo</w:t>
            </w:r>
          </w:p>
        </w:tc>
        <w:tc>
          <w:tcPr>
            <w:tcW w:type="dxa" w:w="4677"/>
            <w:vAlign w:val="center"/>
            <w:shd w:fill="18485A"/>
          </w:tcPr>
          <w:p>
            <w:pPr>
              <w:spacing w:after="0"/>
            </w:pPr>
            <w:r>
              <w:rPr>
                <w:b/>
                <w:color w:val="FFFFFF"/>
                <w:sz w:val="16"/>
              </w:rPr>
              <w:t>Definición para AFRISAN</w:t>
            </w:r>
          </w:p>
        </w:tc>
      </w:tr>
      <w:tr>
        <w:trPr>
          <w:cantSplit/>
        </w:trPr>
        <w:tc>
          <w:tcPr>
            <w:tcW w:type="dxa" w:w="2268"/>
            <w:vAlign w:val="top"/>
          </w:tcPr>
          <w:p>
            <w:pPr>
              <w:spacing w:after="40" w:before="20" w:line="252" w:lineRule="auto"/>
            </w:pPr>
            <w:r>
              <w:rPr>
                <w:sz w:val="16"/>
              </w:rPr>
              <w:t>Atributo</w:t>
            </w:r>
          </w:p>
        </w:tc>
        <w:tc>
          <w:tcPr>
            <w:tcW w:type="dxa" w:w="6917"/>
            <w:vAlign w:val="top"/>
          </w:tcPr>
          <w:p>
            <w:pPr>
              <w:spacing w:after="40" w:before="20" w:line="252" w:lineRule="auto"/>
            </w:pPr>
            <w:r>
              <w:rPr>
                <w:sz w:val="16"/>
              </w:rPr>
              <w:t>Trazabilidad</w:t>
            </w:r>
          </w:p>
        </w:tc>
      </w:tr>
      <w:tr>
        <w:trPr>
          <w:cantSplit/>
        </w:trPr>
        <w:tc>
          <w:tcPr>
            <w:tcW w:type="dxa" w:w="2268"/>
            <w:vAlign w:val="top"/>
            <w:shd w:fill="F3F7F8"/>
          </w:tcPr>
          <w:p>
            <w:pPr>
              <w:spacing w:after="40" w:before="20" w:line="252" w:lineRule="auto"/>
            </w:pPr>
            <w:r>
              <w:rPr>
                <w:sz w:val="16"/>
              </w:rPr>
              <w:t>Fuente del estímulo</w:t>
            </w:r>
          </w:p>
        </w:tc>
        <w:tc>
          <w:tcPr>
            <w:tcW w:type="dxa" w:w="6917"/>
            <w:vAlign w:val="top"/>
            <w:shd w:fill="F3F7F8"/>
          </w:tcPr>
          <w:p>
            <w:pPr>
              <w:spacing w:after="40" w:before="20" w:line="252" w:lineRule="auto"/>
            </w:pPr>
            <w:r>
              <w:rPr>
                <w:sz w:val="16"/>
              </w:rPr>
              <w:t>Usuario autorizado que lee un QR</w:t>
            </w:r>
          </w:p>
        </w:tc>
      </w:tr>
      <w:tr>
        <w:trPr>
          <w:cantSplit/>
        </w:trPr>
        <w:tc>
          <w:tcPr>
            <w:tcW w:type="dxa" w:w="2268"/>
            <w:vAlign w:val="top"/>
          </w:tcPr>
          <w:p>
            <w:pPr>
              <w:spacing w:after="40" w:before="20" w:line="252" w:lineRule="auto"/>
            </w:pPr>
            <w:r>
              <w:rPr>
                <w:sz w:val="16"/>
              </w:rPr>
              <w:t>Estímulo</w:t>
            </w:r>
          </w:p>
        </w:tc>
        <w:tc>
          <w:tcPr>
            <w:tcW w:type="dxa" w:w="6917"/>
            <w:vAlign w:val="top"/>
          </w:tcPr>
          <w:p>
            <w:pPr>
              <w:spacing w:after="40" w:before="20" w:line="252" w:lineRule="auto"/>
            </w:pPr>
            <w:r>
              <w:rPr>
                <w:sz w:val="16"/>
              </w:rPr>
              <w:t>Solicita la ficha y movimientos de un cilindro.</w:t>
            </w:r>
          </w:p>
        </w:tc>
      </w:tr>
      <w:tr>
        <w:trPr>
          <w:cantSplit/>
        </w:trPr>
        <w:tc>
          <w:tcPr>
            <w:tcW w:type="dxa" w:w="2268"/>
            <w:vAlign w:val="top"/>
            <w:shd w:fill="F3F7F8"/>
          </w:tcPr>
          <w:p>
            <w:pPr>
              <w:spacing w:after="40" w:before="20" w:line="252" w:lineRule="auto"/>
            </w:pPr>
            <w:r>
              <w:rPr>
                <w:sz w:val="16"/>
              </w:rPr>
              <w:t>Entorno</w:t>
            </w:r>
          </w:p>
        </w:tc>
        <w:tc>
          <w:tcPr>
            <w:tcW w:type="dxa" w:w="6917"/>
            <w:vAlign w:val="top"/>
            <w:shd w:fill="F3F7F8"/>
          </w:tcPr>
          <w:p>
            <w:pPr>
              <w:spacing w:after="40" w:before="20" w:line="252" w:lineRule="auto"/>
            </w:pPr>
            <w:r>
              <w:rPr>
                <w:sz w:val="16"/>
              </w:rPr>
              <w:t>Cilindro con movimientos previos; conexión disponible.</w:t>
            </w:r>
          </w:p>
        </w:tc>
      </w:tr>
      <w:tr>
        <w:trPr>
          <w:cantSplit/>
        </w:trPr>
        <w:tc>
          <w:tcPr>
            <w:tcW w:type="dxa" w:w="2268"/>
            <w:vAlign w:val="top"/>
          </w:tcPr>
          <w:p>
            <w:pPr>
              <w:spacing w:after="40" w:before="20" w:line="252" w:lineRule="auto"/>
            </w:pPr>
            <w:r>
              <w:rPr>
                <w:sz w:val="16"/>
              </w:rPr>
              <w:t>Artefacto</w:t>
            </w:r>
          </w:p>
        </w:tc>
        <w:tc>
          <w:tcPr>
            <w:tcW w:type="dxa" w:w="6917"/>
            <w:vAlign w:val="top"/>
          </w:tcPr>
          <w:p>
            <w:pPr>
              <w:spacing w:after="40" w:before="20" w:line="252" w:lineRule="auto"/>
            </w:pPr>
            <w:r>
              <w:rPr>
                <w:sz w:val="16"/>
              </w:rPr>
              <w:t>Interfaz, endpoint de historial, relación cilindro–movimientos.</w:t>
            </w:r>
          </w:p>
        </w:tc>
      </w:tr>
      <w:tr>
        <w:trPr>
          <w:cantSplit/>
        </w:trPr>
        <w:tc>
          <w:tcPr>
            <w:tcW w:type="dxa" w:w="2268"/>
            <w:vAlign w:val="top"/>
            <w:shd w:fill="F3F7F8"/>
          </w:tcPr>
          <w:p>
            <w:pPr>
              <w:spacing w:after="40" w:before="20" w:line="252" w:lineRule="auto"/>
            </w:pPr>
            <w:r>
              <w:rPr>
                <w:sz w:val="16"/>
              </w:rPr>
              <w:t>Respuesta esperada</w:t>
            </w:r>
          </w:p>
        </w:tc>
        <w:tc>
          <w:tcPr>
            <w:tcW w:type="dxa" w:w="6917"/>
            <w:vAlign w:val="top"/>
            <w:shd w:fill="F3F7F8"/>
          </w:tcPr>
          <w:p>
            <w:pPr>
              <w:spacing w:after="40" w:before="20" w:line="252" w:lineRule="auto"/>
            </w:pPr>
            <w:r>
              <w:rPr>
                <w:sz w:val="16"/>
              </w:rPr>
              <w:t>Muestra los eventos asociados al cilindro, ordenados y sin omitir despachos/retornos registrados; aplica autorización.</w:t>
            </w:r>
          </w:p>
        </w:tc>
      </w:tr>
      <w:tr>
        <w:trPr>
          <w:cantSplit/>
        </w:trPr>
        <w:tc>
          <w:tcPr>
            <w:tcW w:type="dxa" w:w="2268"/>
            <w:vAlign w:val="top"/>
          </w:tcPr>
          <w:p>
            <w:pPr>
              <w:spacing w:after="40" w:before="20" w:line="252" w:lineRule="auto"/>
            </w:pPr>
            <w:r>
              <w:rPr>
                <w:sz w:val="16"/>
              </w:rPr>
              <w:t>Medida de respuesta</w:t>
            </w:r>
          </w:p>
        </w:tc>
        <w:tc>
          <w:tcPr>
            <w:tcW w:type="dxa" w:w="6917"/>
            <w:vAlign w:val="top"/>
          </w:tcPr>
          <w:p>
            <w:pPr>
              <w:spacing w:after="40" w:before="20" w:line="252" w:lineRule="auto"/>
            </w:pPr>
            <w:r>
              <w:rPr>
                <w:sz w:val="16"/>
              </w:rPr>
              <w:t>Comparar N movimientos persistidos con N eventos recuperados, sus tipos, fechas y actores; no divulgar datos sin autorización.</w:t>
            </w:r>
          </w:p>
        </w:tc>
      </w:tr>
      <w:tr>
        <w:trPr>
          <w:cantSplit/>
        </w:trPr>
        <w:tc>
          <w:tcPr>
            <w:tcW w:type="dxa" w:w="2268"/>
            <w:vAlign w:val="top"/>
            <w:shd w:fill="F3F7F8"/>
          </w:tcPr>
          <w:p>
            <w:pPr>
              <w:spacing w:after="40" w:before="20" w:line="252" w:lineRule="auto"/>
            </w:pPr>
            <w:r>
              <w:rPr>
                <w:sz w:val="16"/>
              </w:rPr>
              <w:t>Estado de evaluación</w:t>
            </w:r>
          </w:p>
        </w:tc>
        <w:tc>
          <w:tcPr>
            <w:tcW w:type="dxa" w:w="6917"/>
            <w:vAlign w:val="top"/>
            <w:shd w:fill="F3F7F8"/>
          </w:tcPr>
          <w:p>
            <w:pPr>
              <w:spacing w:after="40" w:before="20" w:line="252" w:lineRule="auto"/>
            </w:pPr>
            <w:r>
              <w:rPr>
                <w:sz w:val="16"/>
              </w:rPr>
              <w:t>D: vincular movimientos a identificador estable. V: contrastar historial, auditoría y permisos con datos de ensayo.</w:t>
            </w:r>
          </w:p>
        </w:tc>
      </w:tr>
    </w:tbl>
    <w:p>
      <w:pPr>
        <w:spacing w:after="20"/>
      </w:pPr>
    </w:p>
    <w:p>
      <w:r>
        <w:rPr>
          <w:b/>
        </w:rPr>
        <w:t xml:space="preserve">Enfoque arquitectónico: </w:t>
      </w:r>
      <w:r>
        <w:t>Identificador estable y consulta de movimientos relacionados; verificar orden, integridad referencial y control de acceso.</w:t>
      </w:r>
    </w:p>
    <w:p>
      <w:r>
        <w:rPr>
          <w:b/>
        </w:rPr>
        <w:t xml:space="preserve">Evidencia de Fase 1: </w:t>
      </w:r>
      <w:r>
        <w:t>diseño de relación entre cilindro, QR y movimientos para recuperar el historial.</w:t>
      </w:r>
    </w:p>
    <w:p>
      <w:r>
        <w:rPr>
          <w:b/>
        </w:rPr>
        <w:t xml:space="preserve">Límite de la evaluación: </w:t>
      </w:r>
      <w:r>
        <w:t>el identificador QR no acredita identidad; el diseño debe definir auditoría, retención y permisos de lectura.</w:t>
      </w:r>
    </w:p>
    <w:p>
      <w:pPr>
        <w:pStyle w:val="Heading3"/>
      </w:pPr>
      <w:r>
        <w:t>EC-04 · Autenticación y permisos</w:t>
      </w:r>
    </w:p>
    <w:tbl>
      <w:tblPr>
        <w:tblStyle w:val="TableGrid"/>
        <w:tblW w:type="auto" w:w="0"/>
        <w:jc w:val="center"/>
        <w:tblLayout w:type="fixed"/>
        <w:tblLook w:firstColumn="1" w:firstRow="1" w:lastColumn="0" w:lastRow="0" w:noHBand="0" w:noVBand="1" w:val="04A0"/>
      </w:tblPr>
      <w:tblGrid>
        <w:gridCol w:w="2268"/>
        <w:gridCol w:w="6917"/>
      </w:tblGrid>
      <w:tr>
        <w:trPr>
          <w:tblHeader w:val="true"/>
        </w:trPr>
        <w:tc>
          <w:tcPr>
            <w:tcW w:type="dxa" w:w="4677"/>
            <w:vAlign w:val="center"/>
            <w:shd w:fill="18485A"/>
          </w:tcPr>
          <w:p>
            <w:pPr>
              <w:spacing w:after="0"/>
            </w:pPr>
            <w:r>
              <w:rPr>
                <w:b/>
                <w:color w:val="FFFFFF"/>
                <w:sz w:val="16"/>
              </w:rPr>
              <w:t>Campo</w:t>
            </w:r>
          </w:p>
        </w:tc>
        <w:tc>
          <w:tcPr>
            <w:tcW w:type="dxa" w:w="4677"/>
            <w:vAlign w:val="center"/>
            <w:shd w:fill="18485A"/>
          </w:tcPr>
          <w:p>
            <w:pPr>
              <w:spacing w:after="0"/>
            </w:pPr>
            <w:r>
              <w:rPr>
                <w:b/>
                <w:color w:val="FFFFFF"/>
                <w:sz w:val="16"/>
              </w:rPr>
              <w:t>Definición para AFRISAN</w:t>
            </w:r>
          </w:p>
        </w:tc>
      </w:tr>
      <w:tr>
        <w:trPr>
          <w:cantSplit/>
        </w:trPr>
        <w:tc>
          <w:tcPr>
            <w:tcW w:type="dxa" w:w="2268"/>
            <w:vAlign w:val="top"/>
          </w:tcPr>
          <w:p>
            <w:pPr>
              <w:spacing w:after="40" w:before="20" w:line="252" w:lineRule="auto"/>
            </w:pPr>
            <w:r>
              <w:rPr>
                <w:sz w:val="16"/>
              </w:rPr>
              <w:t>Atributo</w:t>
            </w:r>
          </w:p>
        </w:tc>
        <w:tc>
          <w:tcPr>
            <w:tcW w:type="dxa" w:w="6917"/>
            <w:vAlign w:val="top"/>
          </w:tcPr>
          <w:p>
            <w:pPr>
              <w:spacing w:after="40" w:before="20" w:line="252" w:lineRule="auto"/>
            </w:pPr>
            <w:r>
              <w:rPr>
                <w:sz w:val="16"/>
              </w:rPr>
              <w:t>Seguridad</w:t>
            </w:r>
          </w:p>
        </w:tc>
      </w:tr>
      <w:tr>
        <w:trPr>
          <w:cantSplit/>
        </w:trPr>
        <w:tc>
          <w:tcPr>
            <w:tcW w:type="dxa" w:w="2268"/>
            <w:vAlign w:val="top"/>
            <w:shd w:fill="F3F7F8"/>
          </w:tcPr>
          <w:p>
            <w:pPr>
              <w:spacing w:after="40" w:before="20" w:line="252" w:lineRule="auto"/>
            </w:pPr>
            <w:r>
              <w:rPr>
                <w:sz w:val="16"/>
              </w:rPr>
              <w:t>Fuente del estímulo</w:t>
            </w:r>
          </w:p>
        </w:tc>
        <w:tc>
          <w:tcPr>
            <w:tcW w:type="dxa" w:w="6917"/>
            <w:vAlign w:val="top"/>
            <w:shd w:fill="F3F7F8"/>
          </w:tcPr>
          <w:p>
            <w:pPr>
              <w:spacing w:after="40" w:before="20" w:line="252" w:lineRule="auto"/>
            </w:pPr>
            <w:r>
              <w:rPr>
                <w:sz w:val="16"/>
              </w:rPr>
              <w:t>Usuario no autenticado o de un rol sin permiso</w:t>
            </w:r>
          </w:p>
        </w:tc>
      </w:tr>
      <w:tr>
        <w:trPr>
          <w:cantSplit/>
        </w:trPr>
        <w:tc>
          <w:tcPr>
            <w:tcW w:type="dxa" w:w="2268"/>
            <w:vAlign w:val="top"/>
          </w:tcPr>
          <w:p>
            <w:pPr>
              <w:spacing w:after="40" w:before="20" w:line="252" w:lineRule="auto"/>
            </w:pPr>
            <w:r>
              <w:rPr>
                <w:sz w:val="16"/>
              </w:rPr>
              <w:t>Estímulo</w:t>
            </w:r>
          </w:p>
        </w:tc>
        <w:tc>
          <w:tcPr>
            <w:tcW w:type="dxa" w:w="6917"/>
            <w:vAlign w:val="top"/>
          </w:tcPr>
          <w:p>
            <w:pPr>
              <w:spacing w:after="40" w:before="20" w:line="252" w:lineRule="auto"/>
            </w:pPr>
            <w:r>
              <w:rPr>
                <w:sz w:val="16"/>
              </w:rPr>
              <w:t>Intenta crear movimientos, cambiar estados o consultar información ajena manipulando URL/ID.</w:t>
            </w:r>
          </w:p>
        </w:tc>
      </w:tr>
      <w:tr>
        <w:trPr>
          <w:cantSplit/>
        </w:trPr>
        <w:tc>
          <w:tcPr>
            <w:tcW w:type="dxa" w:w="2268"/>
            <w:vAlign w:val="top"/>
            <w:shd w:fill="F3F7F8"/>
          </w:tcPr>
          <w:p>
            <w:pPr>
              <w:spacing w:after="40" w:before="20" w:line="252" w:lineRule="auto"/>
            </w:pPr>
            <w:r>
              <w:rPr>
                <w:sz w:val="16"/>
              </w:rPr>
              <w:t>Entorno</w:t>
            </w:r>
          </w:p>
        </w:tc>
        <w:tc>
          <w:tcPr>
            <w:tcW w:type="dxa" w:w="6917"/>
            <w:vAlign w:val="top"/>
            <w:shd w:fill="F3F7F8"/>
          </w:tcPr>
          <w:p>
            <w:pPr>
              <w:spacing w:after="40" w:before="20" w:line="252" w:lineRule="auto"/>
            </w:pPr>
            <w:r>
              <w:rPr>
                <w:sz w:val="16"/>
              </w:rPr>
              <w:t>API expuesta mediante red y cliente web.</w:t>
            </w:r>
          </w:p>
        </w:tc>
      </w:tr>
      <w:tr>
        <w:trPr>
          <w:cantSplit/>
        </w:trPr>
        <w:tc>
          <w:tcPr>
            <w:tcW w:type="dxa" w:w="2268"/>
            <w:vAlign w:val="top"/>
          </w:tcPr>
          <w:p>
            <w:pPr>
              <w:spacing w:after="40" w:before="20" w:line="252" w:lineRule="auto"/>
            </w:pPr>
            <w:r>
              <w:rPr>
                <w:sz w:val="16"/>
              </w:rPr>
              <w:t>Artefacto</w:t>
            </w:r>
          </w:p>
        </w:tc>
        <w:tc>
          <w:tcPr>
            <w:tcW w:type="dxa" w:w="6917"/>
            <w:vAlign w:val="top"/>
          </w:tcPr>
          <w:p>
            <w:pPr>
              <w:spacing w:after="40" w:before="20" w:line="252" w:lineRule="auto"/>
            </w:pPr>
            <w:r>
              <w:rPr>
                <w:sz w:val="16"/>
              </w:rPr>
              <w:t>Middleware de identidad, autorización por operación y objeto, endpoints de la API.</w:t>
            </w:r>
          </w:p>
        </w:tc>
      </w:tr>
      <w:tr>
        <w:trPr>
          <w:cantSplit/>
        </w:trPr>
        <w:tc>
          <w:tcPr>
            <w:tcW w:type="dxa" w:w="2268"/>
            <w:vAlign w:val="top"/>
            <w:shd w:fill="F3F7F8"/>
          </w:tcPr>
          <w:p>
            <w:pPr>
              <w:spacing w:after="40" w:before="20" w:line="252" w:lineRule="auto"/>
            </w:pPr>
            <w:r>
              <w:rPr>
                <w:sz w:val="16"/>
              </w:rPr>
              <w:t>Respuesta esperada</w:t>
            </w:r>
          </w:p>
        </w:tc>
        <w:tc>
          <w:tcPr>
            <w:tcW w:type="dxa" w:w="6917"/>
            <w:vAlign w:val="top"/>
            <w:shd w:fill="F3F7F8"/>
          </w:tcPr>
          <w:p>
            <w:pPr>
              <w:spacing w:after="40" w:before="20" w:line="252" w:lineRule="auto"/>
            </w:pPr>
            <w:r>
              <w:rPr>
                <w:sz w:val="16"/>
              </w:rPr>
              <w:t>La API rechaza cada acceso indebido y no revela información restringida.</w:t>
            </w:r>
          </w:p>
        </w:tc>
      </w:tr>
      <w:tr>
        <w:trPr>
          <w:cantSplit/>
        </w:trPr>
        <w:tc>
          <w:tcPr>
            <w:tcW w:type="dxa" w:w="2268"/>
            <w:vAlign w:val="top"/>
          </w:tcPr>
          <w:p>
            <w:pPr>
              <w:spacing w:after="40" w:before="20" w:line="252" w:lineRule="auto"/>
            </w:pPr>
            <w:r>
              <w:rPr>
                <w:sz w:val="16"/>
              </w:rPr>
              <w:t>Medida de respuesta</w:t>
            </w:r>
          </w:p>
        </w:tc>
        <w:tc>
          <w:tcPr>
            <w:tcW w:type="dxa" w:w="6917"/>
            <w:vAlign w:val="top"/>
          </w:tcPr>
          <w:p>
            <w:pPr>
              <w:spacing w:after="40" w:before="20" w:line="252" w:lineRule="auto"/>
            </w:pPr>
            <w:r>
              <w:rPr>
                <w:sz w:val="16"/>
              </w:rPr>
              <w:t>100 % de casos negativos definidos denegados en la matriz rol × operación × objeto; sin modificación de datos.</w:t>
            </w:r>
          </w:p>
        </w:tc>
      </w:tr>
      <w:tr>
        <w:trPr>
          <w:cantSplit/>
        </w:trPr>
        <w:tc>
          <w:tcPr>
            <w:tcW w:type="dxa" w:w="2268"/>
            <w:vAlign w:val="top"/>
            <w:shd w:fill="F3F7F8"/>
          </w:tcPr>
          <w:p>
            <w:pPr>
              <w:spacing w:after="40" w:before="20" w:line="252" w:lineRule="auto"/>
            </w:pPr>
            <w:r>
              <w:rPr>
                <w:sz w:val="16"/>
              </w:rPr>
              <w:t>Estado de evaluación</w:t>
            </w:r>
          </w:p>
        </w:tc>
        <w:tc>
          <w:tcPr>
            <w:tcW w:type="dxa" w:w="6917"/>
            <w:vAlign w:val="top"/>
            <w:shd w:fill="F3F7F8"/>
          </w:tcPr>
          <w:p>
            <w:pPr>
              <w:spacing w:after="40" w:before="20" w:line="252" w:lineRule="auto"/>
            </w:pPr>
            <w:r>
              <w:rPr>
                <w:sz w:val="16"/>
              </w:rPr>
              <w:t>D: exigir control de acceso en servidor. V: ejecutar matriz de casos autorizados y denegados al implementarse.</w:t>
            </w:r>
          </w:p>
        </w:tc>
      </w:tr>
    </w:tbl>
    <w:p>
      <w:pPr>
        <w:spacing w:after="20"/>
      </w:pPr>
    </w:p>
    <w:p>
      <w:r>
        <w:rPr>
          <w:b/>
        </w:rPr>
        <w:t xml:space="preserve">Enfoque arquitectónico: </w:t>
      </w:r>
      <w:r>
        <w:t>Definir esquema de identidad y políticas de autorización sobre recursos, aplicadas en servidor.</w:t>
      </w:r>
    </w:p>
    <w:p>
      <w:r>
        <w:rPr>
          <w:b/>
        </w:rPr>
        <w:t xml:space="preserve">Evidencia de Fase 1: </w:t>
      </w:r>
      <w:r>
        <w:t>escenario de acceso indebido y propuesta de autorización centralizada en la API.</w:t>
      </w:r>
    </w:p>
    <w:p>
      <w:r>
        <w:rPr>
          <w:b/>
        </w:rPr>
        <w:t xml:space="preserve">Límite de la evaluación: </w:t>
      </w:r>
      <w:r>
        <w:t>ocultar botones o conocer un QR no sustituye autorización en el servidor; definir y verificar controles posteriormente.</w:t>
      </w:r>
    </w:p>
    <w:p>
      <w:pPr>
        <w:pStyle w:val="Heading3"/>
      </w:pPr>
      <w:r>
        <w:t>EC-05 · Consulta móvil</w:t>
      </w:r>
    </w:p>
    <w:tbl>
      <w:tblPr>
        <w:tblStyle w:val="TableGrid"/>
        <w:tblW w:type="auto" w:w="0"/>
        <w:jc w:val="center"/>
        <w:tblLayout w:type="fixed"/>
        <w:tblLook w:firstColumn="1" w:firstRow="1" w:lastColumn="0" w:lastRow="0" w:noHBand="0" w:noVBand="1" w:val="04A0"/>
      </w:tblPr>
      <w:tblGrid>
        <w:gridCol w:w="2268"/>
        <w:gridCol w:w="6917"/>
      </w:tblGrid>
      <w:tr>
        <w:trPr>
          <w:tblHeader w:val="true"/>
        </w:trPr>
        <w:tc>
          <w:tcPr>
            <w:tcW w:type="dxa" w:w="4677"/>
            <w:vAlign w:val="center"/>
            <w:shd w:fill="18485A"/>
          </w:tcPr>
          <w:p>
            <w:pPr>
              <w:spacing w:after="0"/>
            </w:pPr>
            <w:r>
              <w:rPr>
                <w:b/>
                <w:color w:val="FFFFFF"/>
                <w:sz w:val="16"/>
              </w:rPr>
              <w:t>Campo</w:t>
            </w:r>
          </w:p>
        </w:tc>
        <w:tc>
          <w:tcPr>
            <w:tcW w:type="dxa" w:w="4677"/>
            <w:vAlign w:val="center"/>
            <w:shd w:fill="18485A"/>
          </w:tcPr>
          <w:p>
            <w:pPr>
              <w:spacing w:after="0"/>
            </w:pPr>
            <w:r>
              <w:rPr>
                <w:b/>
                <w:color w:val="FFFFFF"/>
                <w:sz w:val="16"/>
              </w:rPr>
              <w:t>Definición para AFRISAN</w:t>
            </w:r>
          </w:p>
        </w:tc>
      </w:tr>
      <w:tr>
        <w:trPr>
          <w:cantSplit/>
        </w:trPr>
        <w:tc>
          <w:tcPr>
            <w:tcW w:type="dxa" w:w="2268"/>
            <w:vAlign w:val="top"/>
          </w:tcPr>
          <w:p>
            <w:pPr>
              <w:spacing w:after="40" w:before="20" w:line="252" w:lineRule="auto"/>
            </w:pPr>
            <w:r>
              <w:rPr>
                <w:sz w:val="16"/>
              </w:rPr>
              <w:t>Atributo</w:t>
            </w:r>
          </w:p>
        </w:tc>
        <w:tc>
          <w:tcPr>
            <w:tcW w:type="dxa" w:w="6917"/>
            <w:vAlign w:val="top"/>
          </w:tcPr>
          <w:p>
            <w:pPr>
              <w:spacing w:after="40" w:before="20" w:line="252" w:lineRule="auto"/>
            </w:pPr>
            <w:r>
              <w:rPr>
                <w:sz w:val="16"/>
              </w:rPr>
              <w:t>Compatibilidad / usabilidad</w:t>
            </w:r>
          </w:p>
        </w:tc>
      </w:tr>
      <w:tr>
        <w:trPr>
          <w:cantSplit/>
        </w:trPr>
        <w:tc>
          <w:tcPr>
            <w:tcW w:type="dxa" w:w="2268"/>
            <w:vAlign w:val="top"/>
            <w:shd w:fill="F3F7F8"/>
          </w:tcPr>
          <w:p>
            <w:pPr>
              <w:spacing w:after="40" w:before="20" w:line="252" w:lineRule="auto"/>
            </w:pPr>
            <w:r>
              <w:rPr>
                <w:sz w:val="16"/>
              </w:rPr>
              <w:t>Fuente del estímulo</w:t>
            </w:r>
          </w:p>
        </w:tc>
        <w:tc>
          <w:tcPr>
            <w:tcW w:type="dxa" w:w="6917"/>
            <w:vAlign w:val="top"/>
            <w:shd w:fill="F3F7F8"/>
          </w:tcPr>
          <w:p>
            <w:pPr>
              <w:spacing w:after="40" w:before="20" w:line="252" w:lineRule="auto"/>
            </w:pPr>
            <w:r>
              <w:rPr>
                <w:sz w:val="16"/>
              </w:rPr>
              <w:t>Operador que trabaja en terreno</w:t>
            </w:r>
          </w:p>
        </w:tc>
      </w:tr>
      <w:tr>
        <w:trPr>
          <w:cantSplit/>
        </w:trPr>
        <w:tc>
          <w:tcPr>
            <w:tcW w:type="dxa" w:w="2268"/>
            <w:vAlign w:val="top"/>
          </w:tcPr>
          <w:p>
            <w:pPr>
              <w:spacing w:after="40" w:before="20" w:line="252" w:lineRule="auto"/>
            </w:pPr>
            <w:r>
              <w:rPr>
                <w:sz w:val="16"/>
              </w:rPr>
              <w:t>Estímulo</w:t>
            </w:r>
          </w:p>
        </w:tc>
        <w:tc>
          <w:tcPr>
            <w:tcW w:type="dxa" w:w="6917"/>
            <w:vAlign w:val="top"/>
          </w:tcPr>
          <w:p>
            <w:pPr>
              <w:spacing w:after="40" w:before="20" w:line="252" w:lineRule="auto"/>
            </w:pPr>
            <w:r>
              <w:rPr>
                <w:sz w:val="16"/>
              </w:rPr>
              <w:t>Escanea QR desde un teléfono y consulta ficha e historial.</w:t>
            </w:r>
          </w:p>
        </w:tc>
      </w:tr>
      <w:tr>
        <w:trPr>
          <w:cantSplit/>
        </w:trPr>
        <w:tc>
          <w:tcPr>
            <w:tcW w:type="dxa" w:w="2268"/>
            <w:vAlign w:val="top"/>
            <w:shd w:fill="F3F7F8"/>
          </w:tcPr>
          <w:p>
            <w:pPr>
              <w:spacing w:after="40" w:before="20" w:line="252" w:lineRule="auto"/>
            </w:pPr>
            <w:r>
              <w:rPr>
                <w:sz w:val="16"/>
              </w:rPr>
              <w:t>Entorno</w:t>
            </w:r>
          </w:p>
        </w:tc>
        <w:tc>
          <w:tcPr>
            <w:tcW w:type="dxa" w:w="6917"/>
            <w:vAlign w:val="top"/>
            <w:shd w:fill="F3F7F8"/>
          </w:tcPr>
          <w:p>
            <w:pPr>
              <w:spacing w:after="40" w:before="20" w:line="252" w:lineRule="auto"/>
            </w:pPr>
            <w:r>
              <w:rPr>
                <w:sz w:val="16"/>
              </w:rPr>
              <w:t>Red de prueba definida, navegadores y tamaños de pantalla predefinidos.</w:t>
            </w:r>
          </w:p>
        </w:tc>
      </w:tr>
      <w:tr>
        <w:trPr>
          <w:cantSplit/>
        </w:trPr>
        <w:tc>
          <w:tcPr>
            <w:tcW w:type="dxa" w:w="2268"/>
            <w:vAlign w:val="top"/>
          </w:tcPr>
          <w:p>
            <w:pPr>
              <w:spacing w:after="40" w:before="20" w:line="252" w:lineRule="auto"/>
            </w:pPr>
            <w:r>
              <w:rPr>
                <w:sz w:val="16"/>
              </w:rPr>
              <w:t>Artefacto</w:t>
            </w:r>
          </w:p>
        </w:tc>
        <w:tc>
          <w:tcPr>
            <w:tcW w:type="dxa" w:w="6917"/>
            <w:vAlign w:val="top"/>
          </w:tcPr>
          <w:p>
            <w:pPr>
              <w:spacing w:after="40" w:before="20" w:line="252" w:lineRule="auto"/>
            </w:pPr>
            <w:r>
              <w:rPr>
                <w:sz w:val="16"/>
              </w:rPr>
              <w:t>Blazor WebAssembly, navegación y API.</w:t>
            </w:r>
          </w:p>
        </w:tc>
      </w:tr>
      <w:tr>
        <w:trPr>
          <w:cantSplit/>
        </w:trPr>
        <w:tc>
          <w:tcPr>
            <w:tcW w:type="dxa" w:w="2268"/>
            <w:vAlign w:val="top"/>
            <w:shd w:fill="F3F7F8"/>
          </w:tcPr>
          <w:p>
            <w:pPr>
              <w:spacing w:after="40" w:before="20" w:line="252" w:lineRule="auto"/>
            </w:pPr>
            <w:r>
              <w:rPr>
                <w:sz w:val="16"/>
              </w:rPr>
              <w:t>Respuesta esperada</w:t>
            </w:r>
          </w:p>
        </w:tc>
        <w:tc>
          <w:tcPr>
            <w:tcW w:type="dxa" w:w="6917"/>
            <w:vAlign w:val="top"/>
            <w:shd w:fill="F3F7F8"/>
          </w:tcPr>
          <w:p>
            <w:pPr>
              <w:spacing w:after="40" w:before="20" w:line="252" w:lineRule="auto"/>
            </w:pPr>
            <w:r>
              <w:rPr>
                <w:sz w:val="16"/>
              </w:rPr>
              <w:t>La ficha se puede consultar y utilizar en un tamaño de pantalla móvil sin pérdida de datos ni operaciones inaccesibles.</w:t>
            </w:r>
          </w:p>
        </w:tc>
      </w:tr>
      <w:tr>
        <w:trPr>
          <w:cantSplit/>
        </w:trPr>
        <w:tc>
          <w:tcPr>
            <w:tcW w:type="dxa" w:w="2268"/>
            <w:vAlign w:val="top"/>
          </w:tcPr>
          <w:p>
            <w:pPr>
              <w:spacing w:after="40" w:before="20" w:line="252" w:lineRule="auto"/>
            </w:pPr>
            <w:r>
              <w:rPr>
                <w:sz w:val="16"/>
              </w:rPr>
              <w:t>Medida de respuesta</w:t>
            </w:r>
          </w:p>
        </w:tc>
        <w:tc>
          <w:tcPr>
            <w:tcW w:type="dxa" w:w="6917"/>
            <w:vAlign w:val="top"/>
          </w:tcPr>
          <w:p>
            <w:pPr>
              <w:spacing w:after="40" w:before="20" w:line="252" w:lineRule="auto"/>
            </w:pPr>
            <w:r>
              <w:rPr>
                <w:sz w:val="16"/>
              </w:rPr>
              <w:t>Pasar la lista de verificación en cada dispositivo y navegador de la matriz acordada; registrar tiempo y errores de carga si el requisito los define.</w:t>
            </w:r>
          </w:p>
        </w:tc>
      </w:tr>
      <w:tr>
        <w:trPr>
          <w:cantSplit/>
        </w:trPr>
        <w:tc>
          <w:tcPr>
            <w:tcW w:type="dxa" w:w="2268"/>
            <w:vAlign w:val="top"/>
            <w:shd w:fill="F3F7F8"/>
          </w:tcPr>
          <w:p>
            <w:pPr>
              <w:spacing w:after="40" w:before="20" w:line="252" w:lineRule="auto"/>
            </w:pPr>
            <w:r>
              <w:rPr>
                <w:sz w:val="16"/>
              </w:rPr>
              <w:t>Estado de evaluación</w:t>
            </w:r>
          </w:p>
        </w:tc>
        <w:tc>
          <w:tcPr>
            <w:tcW w:type="dxa" w:w="6917"/>
            <w:vAlign w:val="top"/>
            <w:shd w:fill="F3F7F8"/>
          </w:tcPr>
          <w:p>
            <w:pPr>
              <w:spacing w:after="40" w:before="20" w:line="252" w:lineRule="auto"/>
            </w:pPr>
            <w:r>
              <w:rPr>
                <w:sz w:val="16"/>
              </w:rPr>
              <w:t>D: diseñar interfaz adaptable y QR con URL estable. V: medir experiencia con teléfonos y redes definidas.</w:t>
            </w:r>
          </w:p>
        </w:tc>
      </w:tr>
    </w:tbl>
    <w:p>
      <w:pPr>
        <w:spacing w:after="20"/>
      </w:pPr>
    </w:p>
    <w:p>
      <w:r>
        <w:rPr>
          <w:b/>
        </w:rPr>
        <w:t xml:space="preserve">Enfoque arquitectónico: </w:t>
      </w:r>
      <w:r>
        <w:t>Interfaz adaptable, acceso HTTPS y URL de API independiente de IP local.</w:t>
      </w:r>
    </w:p>
    <w:p>
      <w:r>
        <w:rPr>
          <w:b/>
        </w:rPr>
        <w:t xml:space="preserve">Evidencia de Fase 1: </w:t>
      </w:r>
      <w:r>
        <w:t>escenario de consulta móvil y decisión de interfaz adaptable con referencia QR.</w:t>
      </w:r>
    </w:p>
    <w:p>
      <w:r>
        <w:rPr>
          <w:b/>
        </w:rPr>
        <w:t xml:space="preserve">Límite de la evaluación: </w:t>
      </w:r>
      <w:r>
        <w:t>sin pruebas posteriores no puede afirmarse compatibilidad o desempeño en dispositivos y redes concretas.</w:t>
      </w:r>
    </w:p>
    <w:p>
      <w:pPr>
        <w:pStyle w:val="Heading3"/>
      </w:pPr>
      <w:r>
        <w:t>EC-06 · Caída y recuperación de PostgreSQL</w:t>
      </w:r>
    </w:p>
    <w:tbl>
      <w:tblPr>
        <w:tblStyle w:val="TableGrid"/>
        <w:tblW w:type="auto" w:w="0"/>
        <w:jc w:val="center"/>
        <w:tblLayout w:type="fixed"/>
        <w:tblLook w:firstColumn="1" w:firstRow="1" w:lastColumn="0" w:lastRow="0" w:noHBand="0" w:noVBand="1" w:val="04A0"/>
      </w:tblPr>
      <w:tblGrid>
        <w:gridCol w:w="2268"/>
        <w:gridCol w:w="6917"/>
      </w:tblGrid>
      <w:tr>
        <w:trPr>
          <w:tblHeader w:val="true"/>
        </w:trPr>
        <w:tc>
          <w:tcPr>
            <w:tcW w:type="dxa" w:w="4677"/>
            <w:vAlign w:val="center"/>
            <w:shd w:fill="18485A"/>
          </w:tcPr>
          <w:p>
            <w:pPr>
              <w:spacing w:after="0"/>
            </w:pPr>
            <w:r>
              <w:rPr>
                <w:b/>
                <w:color w:val="FFFFFF"/>
                <w:sz w:val="16"/>
              </w:rPr>
              <w:t>Campo</w:t>
            </w:r>
          </w:p>
        </w:tc>
        <w:tc>
          <w:tcPr>
            <w:tcW w:type="dxa" w:w="4677"/>
            <w:vAlign w:val="center"/>
            <w:shd w:fill="18485A"/>
          </w:tcPr>
          <w:p>
            <w:pPr>
              <w:spacing w:after="0"/>
            </w:pPr>
            <w:r>
              <w:rPr>
                <w:b/>
                <w:color w:val="FFFFFF"/>
                <w:sz w:val="16"/>
              </w:rPr>
              <w:t>Definición para AFRISAN</w:t>
            </w:r>
          </w:p>
        </w:tc>
      </w:tr>
      <w:tr>
        <w:trPr>
          <w:cantSplit/>
        </w:trPr>
        <w:tc>
          <w:tcPr>
            <w:tcW w:type="dxa" w:w="2268"/>
            <w:vAlign w:val="top"/>
          </w:tcPr>
          <w:p>
            <w:pPr>
              <w:spacing w:after="40" w:before="20" w:line="252" w:lineRule="auto"/>
            </w:pPr>
            <w:r>
              <w:rPr>
                <w:sz w:val="16"/>
              </w:rPr>
              <w:t>Atributo</w:t>
            </w:r>
          </w:p>
        </w:tc>
        <w:tc>
          <w:tcPr>
            <w:tcW w:type="dxa" w:w="6917"/>
            <w:vAlign w:val="top"/>
          </w:tcPr>
          <w:p>
            <w:pPr>
              <w:spacing w:after="40" w:before="20" w:line="252" w:lineRule="auto"/>
            </w:pPr>
            <w:r>
              <w:rPr>
                <w:sz w:val="16"/>
              </w:rPr>
              <w:t>Disponibilidad / recuperabilidad</w:t>
            </w:r>
          </w:p>
        </w:tc>
      </w:tr>
      <w:tr>
        <w:trPr>
          <w:cantSplit/>
        </w:trPr>
        <w:tc>
          <w:tcPr>
            <w:tcW w:type="dxa" w:w="2268"/>
            <w:vAlign w:val="top"/>
            <w:shd w:fill="F3F7F8"/>
          </w:tcPr>
          <w:p>
            <w:pPr>
              <w:spacing w:after="40" w:before="20" w:line="252" w:lineRule="auto"/>
            </w:pPr>
            <w:r>
              <w:rPr>
                <w:sz w:val="16"/>
              </w:rPr>
              <w:t>Fuente del estímulo</w:t>
            </w:r>
          </w:p>
        </w:tc>
        <w:tc>
          <w:tcPr>
            <w:tcW w:type="dxa" w:w="6917"/>
            <w:vAlign w:val="top"/>
            <w:shd w:fill="F3F7F8"/>
          </w:tcPr>
          <w:p>
            <w:pPr>
              <w:spacing w:after="40" w:before="20" w:line="252" w:lineRule="auto"/>
            </w:pPr>
            <w:r>
              <w:rPr>
                <w:sz w:val="16"/>
              </w:rPr>
              <w:t>Falla de infraestructura o error de datos</w:t>
            </w:r>
          </w:p>
        </w:tc>
      </w:tr>
      <w:tr>
        <w:trPr>
          <w:cantSplit/>
        </w:trPr>
        <w:tc>
          <w:tcPr>
            <w:tcW w:type="dxa" w:w="2268"/>
            <w:vAlign w:val="top"/>
          </w:tcPr>
          <w:p>
            <w:pPr>
              <w:spacing w:after="40" w:before="20" w:line="252" w:lineRule="auto"/>
            </w:pPr>
            <w:r>
              <w:rPr>
                <w:sz w:val="16"/>
              </w:rPr>
              <w:t>Estímulo</w:t>
            </w:r>
          </w:p>
        </w:tc>
        <w:tc>
          <w:tcPr>
            <w:tcW w:type="dxa" w:w="6917"/>
            <w:vAlign w:val="top"/>
          </w:tcPr>
          <w:p>
            <w:pPr>
              <w:spacing w:after="40" w:before="20" w:line="252" w:lineRule="auto"/>
            </w:pPr>
            <w:r>
              <w:rPr>
                <w:sz w:val="16"/>
              </w:rPr>
              <w:t>Se interrumpe la conexión a la base de datos o se requiere restaurar un respaldo.</w:t>
            </w:r>
          </w:p>
        </w:tc>
      </w:tr>
      <w:tr>
        <w:trPr>
          <w:cantSplit/>
        </w:trPr>
        <w:tc>
          <w:tcPr>
            <w:tcW w:type="dxa" w:w="2268"/>
            <w:vAlign w:val="top"/>
            <w:shd w:fill="F3F7F8"/>
          </w:tcPr>
          <w:p>
            <w:pPr>
              <w:spacing w:after="40" w:before="20" w:line="252" w:lineRule="auto"/>
            </w:pPr>
            <w:r>
              <w:rPr>
                <w:sz w:val="16"/>
              </w:rPr>
              <w:t>Entorno</w:t>
            </w:r>
          </w:p>
        </w:tc>
        <w:tc>
          <w:tcPr>
            <w:tcW w:type="dxa" w:w="6917"/>
            <w:vAlign w:val="top"/>
            <w:shd w:fill="F3F7F8"/>
          </w:tcPr>
          <w:p>
            <w:pPr>
              <w:spacing w:after="40" w:before="20" w:line="252" w:lineRule="auto"/>
            </w:pPr>
            <w:r>
              <w:rPr>
                <w:sz w:val="16"/>
              </w:rPr>
              <w:t>Servicio en despliegue definido y política de copias establecida.</w:t>
            </w:r>
          </w:p>
        </w:tc>
      </w:tr>
      <w:tr>
        <w:trPr>
          <w:cantSplit/>
        </w:trPr>
        <w:tc>
          <w:tcPr>
            <w:tcW w:type="dxa" w:w="2268"/>
            <w:vAlign w:val="top"/>
          </w:tcPr>
          <w:p>
            <w:pPr>
              <w:spacing w:after="40" w:before="20" w:line="252" w:lineRule="auto"/>
            </w:pPr>
            <w:r>
              <w:rPr>
                <w:sz w:val="16"/>
              </w:rPr>
              <w:t>Artefacto</w:t>
            </w:r>
          </w:p>
        </w:tc>
        <w:tc>
          <w:tcPr>
            <w:tcW w:type="dxa" w:w="6917"/>
            <w:vAlign w:val="top"/>
          </w:tcPr>
          <w:p>
            <w:pPr>
              <w:spacing w:after="40" w:before="20" w:line="252" w:lineRule="auto"/>
            </w:pPr>
            <w:r>
              <w:rPr>
                <w:sz w:val="16"/>
              </w:rPr>
              <w:t>API, PostgreSQL, respaldo y observabilidad.</w:t>
            </w:r>
          </w:p>
        </w:tc>
      </w:tr>
      <w:tr>
        <w:trPr>
          <w:cantSplit/>
        </w:trPr>
        <w:tc>
          <w:tcPr>
            <w:tcW w:type="dxa" w:w="2268"/>
            <w:vAlign w:val="top"/>
            <w:shd w:fill="F3F7F8"/>
          </w:tcPr>
          <w:p>
            <w:pPr>
              <w:spacing w:after="40" w:before="20" w:line="252" w:lineRule="auto"/>
            </w:pPr>
            <w:r>
              <w:rPr>
                <w:sz w:val="16"/>
              </w:rPr>
              <w:t>Respuesta esperada</w:t>
            </w:r>
          </w:p>
        </w:tc>
        <w:tc>
          <w:tcPr>
            <w:tcW w:type="dxa" w:w="6917"/>
            <w:vAlign w:val="top"/>
            <w:shd w:fill="F3F7F8"/>
          </w:tcPr>
          <w:p>
            <w:pPr>
              <w:spacing w:after="40" w:before="20" w:line="252" w:lineRule="auto"/>
            </w:pPr>
            <w:r>
              <w:rPr>
                <w:sz w:val="16"/>
              </w:rPr>
              <w:t>Errores controlados durante la falla y restauración documentada sin inconsistencia del inventario.</w:t>
            </w:r>
          </w:p>
        </w:tc>
      </w:tr>
      <w:tr>
        <w:trPr>
          <w:cantSplit/>
        </w:trPr>
        <w:tc>
          <w:tcPr>
            <w:tcW w:type="dxa" w:w="2268"/>
            <w:vAlign w:val="top"/>
          </w:tcPr>
          <w:p>
            <w:pPr>
              <w:spacing w:after="40" w:before="20" w:line="252" w:lineRule="auto"/>
            </w:pPr>
            <w:r>
              <w:rPr>
                <w:sz w:val="16"/>
              </w:rPr>
              <w:t>Medida de respuesta</w:t>
            </w:r>
          </w:p>
        </w:tc>
        <w:tc>
          <w:tcPr>
            <w:tcW w:type="dxa" w:w="6917"/>
            <w:vAlign w:val="top"/>
          </w:tcPr>
          <w:p>
            <w:pPr>
              <w:spacing w:after="40" w:before="20" w:line="252" w:lineRule="auto"/>
            </w:pPr>
            <w:r>
              <w:rPr>
                <w:sz w:val="16"/>
              </w:rPr>
              <w:t>Definir y medir RTO (tiempo de recuperación) y RPO (pérdida máxima aceptada) con valores acordados; comprobar integridad posterior.</w:t>
            </w:r>
          </w:p>
        </w:tc>
      </w:tr>
      <w:tr>
        <w:trPr>
          <w:cantSplit/>
        </w:trPr>
        <w:tc>
          <w:tcPr>
            <w:tcW w:type="dxa" w:w="2268"/>
            <w:vAlign w:val="top"/>
            <w:shd w:fill="F3F7F8"/>
          </w:tcPr>
          <w:p>
            <w:pPr>
              <w:spacing w:after="40" w:before="20" w:line="252" w:lineRule="auto"/>
            </w:pPr>
            <w:r>
              <w:rPr>
                <w:sz w:val="16"/>
              </w:rPr>
              <w:t>Estado de evaluación</w:t>
            </w:r>
          </w:p>
        </w:tc>
        <w:tc>
          <w:tcPr>
            <w:tcW w:type="dxa" w:w="6917"/>
            <w:vAlign w:val="top"/>
            <w:shd w:fill="F3F7F8"/>
          </w:tcPr>
          <w:p>
            <w:pPr>
              <w:spacing w:after="40" w:before="20" w:line="252" w:lineRule="auto"/>
            </w:pPr>
            <w:r>
              <w:rPr>
                <w:sz w:val="16"/>
              </w:rPr>
              <w:t>A: acordar respaldo, RTO y RPO. V: ensayar restauración y cotejo de integridad.</w:t>
            </w:r>
          </w:p>
        </w:tc>
      </w:tr>
    </w:tbl>
    <w:p>
      <w:pPr>
        <w:spacing w:after="20"/>
      </w:pPr>
    </w:p>
    <w:p>
      <w:r>
        <w:rPr>
          <w:b/>
        </w:rPr>
        <w:t xml:space="preserve">Enfoque arquitectónico: </w:t>
      </w:r>
      <w:r>
        <w:t>Configurar respaldos, restauración, monitoreo, límites de espera y respuestas controladas.</w:t>
      </w:r>
    </w:p>
    <w:p>
      <w:r>
        <w:rPr>
          <w:b/>
        </w:rPr>
        <w:t xml:space="preserve">Evidencia de Fase 1: </w:t>
      </w:r>
      <w:r>
        <w:t>escenario de pérdida de disponibilidad y propuesta de respaldo/restauración.</w:t>
      </w:r>
    </w:p>
    <w:p>
      <w:r>
        <w:rPr>
          <w:b/>
        </w:rPr>
        <w:t xml:space="preserve">Límite de la evaluación: </w:t>
      </w:r>
      <w:r>
        <w:t>el proveedor de nube por sí solo no demuestra disponibilidad ni recuperabilidad; deben acordarse y medirse los objetivos.</w:t>
      </w:r>
    </w:p>
    <w:p>
      <w:pPr>
        <w:pStyle w:val="Heading3"/>
      </w:pPr>
      <w:r>
        <w:t>EC-07 · Conciliación de masa y pesaje</w:t>
      </w:r>
    </w:p>
    <w:tbl>
      <w:tblPr>
        <w:tblStyle w:val="TableGrid"/>
        <w:tblW w:type="auto" w:w="0"/>
        <w:jc w:val="center"/>
        <w:tblLayout w:type="fixed"/>
        <w:tblLook w:firstColumn="1" w:firstRow="1" w:lastColumn="0" w:lastRow="0" w:noHBand="0" w:noVBand="1" w:val="04A0"/>
      </w:tblPr>
      <w:tblGrid>
        <w:gridCol w:w="2268"/>
        <w:gridCol w:w="6917"/>
      </w:tblGrid>
      <w:tr>
        <w:trPr>
          <w:tblHeader w:val="true"/>
        </w:trPr>
        <w:tc>
          <w:tcPr>
            <w:tcW w:type="dxa" w:w="4677"/>
            <w:vAlign w:val="center"/>
            <w:shd w:fill="18485A"/>
          </w:tcPr>
          <w:p>
            <w:pPr>
              <w:spacing w:after="0"/>
            </w:pPr>
            <w:r>
              <w:rPr>
                <w:b/>
                <w:color w:val="FFFFFF"/>
                <w:sz w:val="16"/>
              </w:rPr>
              <w:t>Campo</w:t>
            </w:r>
          </w:p>
        </w:tc>
        <w:tc>
          <w:tcPr>
            <w:tcW w:type="dxa" w:w="4677"/>
            <w:vAlign w:val="center"/>
            <w:shd w:fill="18485A"/>
          </w:tcPr>
          <w:p>
            <w:pPr>
              <w:spacing w:after="0"/>
            </w:pPr>
            <w:r>
              <w:rPr>
                <w:b/>
                <w:color w:val="FFFFFF"/>
                <w:sz w:val="16"/>
              </w:rPr>
              <w:t>Definición para AFRISAN</w:t>
            </w:r>
          </w:p>
        </w:tc>
      </w:tr>
      <w:tr>
        <w:trPr>
          <w:cantSplit/>
        </w:trPr>
        <w:tc>
          <w:tcPr>
            <w:tcW w:type="dxa" w:w="2268"/>
            <w:vAlign w:val="top"/>
          </w:tcPr>
          <w:p>
            <w:pPr>
              <w:spacing w:after="40" w:before="20" w:line="252" w:lineRule="auto"/>
            </w:pPr>
            <w:r>
              <w:rPr>
                <w:sz w:val="16"/>
              </w:rPr>
              <w:t>Atributo</w:t>
            </w:r>
          </w:p>
        </w:tc>
        <w:tc>
          <w:tcPr>
            <w:tcW w:type="dxa" w:w="6917"/>
            <w:vAlign w:val="top"/>
          </w:tcPr>
          <w:p>
            <w:pPr>
              <w:spacing w:after="40" w:before="20" w:line="252" w:lineRule="auto"/>
            </w:pPr>
            <w:r>
              <w:rPr>
                <w:sz w:val="16"/>
              </w:rPr>
              <w:t>Integridad de dominio</w:t>
            </w:r>
          </w:p>
        </w:tc>
      </w:tr>
      <w:tr>
        <w:trPr>
          <w:cantSplit/>
        </w:trPr>
        <w:tc>
          <w:tcPr>
            <w:tcW w:type="dxa" w:w="2268"/>
            <w:vAlign w:val="top"/>
            <w:shd w:fill="F3F7F8"/>
          </w:tcPr>
          <w:p>
            <w:pPr>
              <w:spacing w:after="40" w:before="20" w:line="252" w:lineRule="auto"/>
            </w:pPr>
            <w:r>
              <w:rPr>
                <w:sz w:val="16"/>
              </w:rPr>
              <w:t>Fuente del estímulo</w:t>
            </w:r>
          </w:p>
        </w:tc>
        <w:tc>
          <w:tcPr>
            <w:tcW w:type="dxa" w:w="6917"/>
            <w:vAlign w:val="top"/>
            <w:shd w:fill="F3F7F8"/>
          </w:tcPr>
          <w:p>
            <w:pPr>
              <w:spacing w:after="40" w:before="20" w:line="252" w:lineRule="auto"/>
            </w:pPr>
            <w:r>
              <w:rPr>
                <w:sz w:val="16"/>
              </w:rPr>
              <w:t>Operador que registra pesaje o retorno</w:t>
            </w:r>
          </w:p>
        </w:tc>
      </w:tr>
      <w:tr>
        <w:trPr>
          <w:cantSplit/>
        </w:trPr>
        <w:tc>
          <w:tcPr>
            <w:tcW w:type="dxa" w:w="2268"/>
            <w:vAlign w:val="top"/>
          </w:tcPr>
          <w:p>
            <w:pPr>
              <w:spacing w:after="40" w:before="20" w:line="252" w:lineRule="auto"/>
            </w:pPr>
            <w:r>
              <w:rPr>
                <w:sz w:val="16"/>
              </w:rPr>
              <w:t>Estímulo</w:t>
            </w:r>
          </w:p>
        </w:tc>
        <w:tc>
          <w:tcPr>
            <w:tcW w:type="dxa" w:w="6917"/>
            <w:vAlign w:val="top"/>
          </w:tcPr>
          <w:p>
            <w:pPr>
              <w:spacing w:after="40" w:before="20" w:line="252" w:lineRule="auto"/>
            </w:pPr>
            <w:r>
              <w:rPr>
                <w:sz w:val="16"/>
              </w:rPr>
              <w:t>Ingresa masas inconsistentes, valores negativos, fuera de capacidad o una devolución incompatible con el despacho.</w:t>
            </w:r>
          </w:p>
        </w:tc>
      </w:tr>
      <w:tr>
        <w:trPr>
          <w:cantSplit/>
        </w:trPr>
        <w:tc>
          <w:tcPr>
            <w:tcW w:type="dxa" w:w="2268"/>
            <w:vAlign w:val="top"/>
            <w:shd w:fill="F3F7F8"/>
          </w:tcPr>
          <w:p>
            <w:pPr>
              <w:spacing w:after="40" w:before="20" w:line="252" w:lineRule="auto"/>
            </w:pPr>
            <w:r>
              <w:rPr>
                <w:sz w:val="16"/>
              </w:rPr>
              <w:t>Entorno</w:t>
            </w:r>
          </w:p>
        </w:tc>
        <w:tc>
          <w:tcPr>
            <w:tcW w:type="dxa" w:w="6917"/>
            <w:vAlign w:val="top"/>
            <w:shd w:fill="F3F7F8"/>
          </w:tcPr>
          <w:p>
            <w:pPr>
              <w:spacing w:after="40" w:before="20" w:line="252" w:lineRule="auto"/>
            </w:pPr>
            <w:r>
              <w:rPr>
                <w:sz w:val="16"/>
              </w:rPr>
              <w:t>Datos de cilindro y unidades definidas.</w:t>
            </w:r>
          </w:p>
        </w:tc>
      </w:tr>
      <w:tr>
        <w:trPr>
          <w:cantSplit/>
        </w:trPr>
        <w:tc>
          <w:tcPr>
            <w:tcW w:type="dxa" w:w="2268"/>
            <w:vAlign w:val="top"/>
          </w:tcPr>
          <w:p>
            <w:pPr>
              <w:spacing w:after="40" w:before="20" w:line="252" w:lineRule="auto"/>
            </w:pPr>
            <w:r>
              <w:rPr>
                <w:sz w:val="16"/>
              </w:rPr>
              <w:t>Artefacto</w:t>
            </w:r>
          </w:p>
        </w:tc>
        <w:tc>
          <w:tcPr>
            <w:tcW w:type="dxa" w:w="6917"/>
            <w:vAlign w:val="top"/>
          </w:tcPr>
          <w:p>
            <w:pPr>
              <w:spacing w:after="40" w:before="20" w:line="252" w:lineRule="auto"/>
            </w:pPr>
            <w:r>
              <w:rPr>
                <w:sz w:val="16"/>
              </w:rPr>
              <w:t>API, modelo de masa y persistencia.</w:t>
            </w:r>
          </w:p>
        </w:tc>
      </w:tr>
      <w:tr>
        <w:trPr>
          <w:cantSplit/>
        </w:trPr>
        <w:tc>
          <w:tcPr>
            <w:tcW w:type="dxa" w:w="2268"/>
            <w:vAlign w:val="top"/>
            <w:shd w:fill="F3F7F8"/>
          </w:tcPr>
          <w:p>
            <w:pPr>
              <w:spacing w:after="40" w:before="20" w:line="252" w:lineRule="auto"/>
            </w:pPr>
            <w:r>
              <w:rPr>
                <w:sz w:val="16"/>
              </w:rPr>
              <w:t>Respuesta esperada</w:t>
            </w:r>
          </w:p>
        </w:tc>
        <w:tc>
          <w:tcPr>
            <w:tcW w:type="dxa" w:w="6917"/>
            <w:vAlign w:val="top"/>
            <w:shd w:fill="F3F7F8"/>
          </w:tcPr>
          <w:p>
            <w:pPr>
              <w:spacing w:after="40" w:before="20" w:line="252" w:lineRule="auto"/>
            </w:pPr>
            <w:r>
              <w:rPr>
                <w:sz w:val="16"/>
              </w:rPr>
              <w:t>El sistema rechaza valores fuera del dominio, conserva unidades explícitas y registra movimientos consistentes.</w:t>
            </w:r>
          </w:p>
        </w:tc>
      </w:tr>
      <w:tr>
        <w:trPr>
          <w:cantSplit/>
        </w:trPr>
        <w:tc>
          <w:tcPr>
            <w:tcW w:type="dxa" w:w="2268"/>
            <w:vAlign w:val="top"/>
          </w:tcPr>
          <w:p>
            <w:pPr>
              <w:spacing w:after="40" w:before="20" w:line="252" w:lineRule="auto"/>
            </w:pPr>
            <w:r>
              <w:rPr>
                <w:sz w:val="16"/>
              </w:rPr>
              <w:t>Medida de respuesta</w:t>
            </w:r>
          </w:p>
        </w:tc>
        <w:tc>
          <w:tcPr>
            <w:tcW w:type="dxa" w:w="6917"/>
            <w:vAlign w:val="top"/>
          </w:tcPr>
          <w:p>
            <w:pPr>
              <w:spacing w:after="40" w:before="20" w:line="252" w:lineRule="auto"/>
            </w:pPr>
            <w:r>
              <w:rPr>
                <w:sz w:val="16"/>
              </w:rPr>
              <w:t>0 registros aceptados fuera de reglas formales de masa; definir tolerancias, unidades, capacidad y política de conciliación antes de probar.</w:t>
            </w:r>
          </w:p>
        </w:tc>
      </w:tr>
      <w:tr>
        <w:trPr>
          <w:cantSplit/>
        </w:trPr>
        <w:tc>
          <w:tcPr>
            <w:tcW w:type="dxa" w:w="2268"/>
            <w:vAlign w:val="top"/>
            <w:shd w:fill="F3F7F8"/>
          </w:tcPr>
          <w:p>
            <w:pPr>
              <w:spacing w:after="40" w:before="20" w:line="252" w:lineRule="auto"/>
            </w:pPr>
            <w:r>
              <w:rPr>
                <w:sz w:val="16"/>
              </w:rPr>
              <w:t>Estado de evaluación</w:t>
            </w:r>
          </w:p>
        </w:tc>
        <w:tc>
          <w:tcPr>
            <w:tcW w:type="dxa" w:w="6917"/>
            <w:vAlign w:val="top"/>
            <w:shd w:fill="F3F7F8"/>
          </w:tcPr>
          <w:p>
            <w:pPr>
              <w:spacing w:after="40" w:before="20" w:line="252" w:lineRule="auto"/>
            </w:pPr>
            <w:r>
              <w:rPr>
                <w:sz w:val="16"/>
              </w:rPr>
              <w:t>A: acordar unidades, tara y tolerancias. V: ejecutar casos límite y conciliación de masa.</w:t>
            </w:r>
          </w:p>
        </w:tc>
      </w:tr>
    </w:tbl>
    <w:p>
      <w:pPr>
        <w:spacing w:after="20"/>
      </w:pPr>
    </w:p>
    <w:p>
      <w:r>
        <w:rPr>
          <w:b/>
        </w:rPr>
        <w:t xml:space="preserve">Enfoque arquitectónico: </w:t>
      </w:r>
      <w:r>
        <w:t>Validación de dominio centralizada en API, restricciones aplicables en BD y registro del evento.</w:t>
      </w:r>
    </w:p>
    <w:p>
      <w:r>
        <w:rPr>
          <w:b/>
        </w:rPr>
        <w:t xml:space="preserve">Evidencia de Fase 1: </w:t>
      </w:r>
      <w:r>
        <w:t>necesidad de reglas cuantificadas de masa y plan de pruebas de frontera.</w:t>
      </w:r>
    </w:p>
    <w:p>
      <w:r>
        <w:rPr>
          <w:b/>
        </w:rPr>
        <w:t xml:space="preserve">Límite de la evaluación: </w:t>
      </w:r>
      <w:r>
        <w:t>las tolerancias y definiciones de tara/peso bruto/neto deben ser aprobadas por los responsables operativos.</w:t>
      </w:r>
    </w:p>
    <w:p>
      <w:pPr>
        <w:pStyle w:val="Heading3"/>
      </w:pPr>
      <w:r>
        <w:t>EC-08 · Sincronización offline futura</w:t>
      </w:r>
    </w:p>
    <w:tbl>
      <w:tblPr>
        <w:tblStyle w:val="TableGrid"/>
        <w:tblW w:type="auto" w:w="0"/>
        <w:jc w:val="center"/>
        <w:tblLayout w:type="fixed"/>
        <w:tblLook w:firstColumn="1" w:firstRow="1" w:lastColumn="0" w:lastRow="0" w:noHBand="0" w:noVBand="1" w:val="04A0"/>
      </w:tblPr>
      <w:tblGrid>
        <w:gridCol w:w="2268"/>
        <w:gridCol w:w="6917"/>
      </w:tblGrid>
      <w:tr>
        <w:trPr>
          <w:tblHeader w:val="true"/>
        </w:trPr>
        <w:tc>
          <w:tcPr>
            <w:tcW w:type="dxa" w:w="4677"/>
            <w:vAlign w:val="center"/>
            <w:shd w:fill="18485A"/>
          </w:tcPr>
          <w:p>
            <w:pPr>
              <w:spacing w:after="0"/>
            </w:pPr>
            <w:r>
              <w:rPr>
                <w:b/>
                <w:color w:val="FFFFFF"/>
                <w:sz w:val="16"/>
              </w:rPr>
              <w:t>Campo</w:t>
            </w:r>
          </w:p>
        </w:tc>
        <w:tc>
          <w:tcPr>
            <w:tcW w:type="dxa" w:w="4677"/>
            <w:vAlign w:val="center"/>
            <w:shd w:fill="18485A"/>
          </w:tcPr>
          <w:p>
            <w:pPr>
              <w:spacing w:after="0"/>
            </w:pPr>
            <w:r>
              <w:rPr>
                <w:b/>
                <w:color w:val="FFFFFF"/>
                <w:sz w:val="16"/>
              </w:rPr>
              <w:t>Definición para AFRISAN</w:t>
            </w:r>
          </w:p>
        </w:tc>
      </w:tr>
      <w:tr>
        <w:trPr>
          <w:cantSplit/>
        </w:trPr>
        <w:tc>
          <w:tcPr>
            <w:tcW w:type="dxa" w:w="2268"/>
            <w:vAlign w:val="top"/>
          </w:tcPr>
          <w:p>
            <w:pPr>
              <w:spacing w:after="40" w:before="20" w:line="252" w:lineRule="auto"/>
            </w:pPr>
            <w:r>
              <w:rPr>
                <w:sz w:val="16"/>
              </w:rPr>
              <w:t>Atributo</w:t>
            </w:r>
          </w:p>
        </w:tc>
        <w:tc>
          <w:tcPr>
            <w:tcW w:type="dxa" w:w="6917"/>
            <w:vAlign w:val="top"/>
          </w:tcPr>
          <w:p>
            <w:pPr>
              <w:spacing w:after="40" w:before="20" w:line="252" w:lineRule="auto"/>
            </w:pPr>
            <w:r>
              <w:rPr>
                <w:sz w:val="16"/>
              </w:rPr>
              <w:t>Consistencia / disponibilidad</w:t>
            </w:r>
          </w:p>
        </w:tc>
      </w:tr>
      <w:tr>
        <w:trPr>
          <w:cantSplit/>
        </w:trPr>
        <w:tc>
          <w:tcPr>
            <w:tcW w:type="dxa" w:w="2268"/>
            <w:vAlign w:val="top"/>
            <w:shd w:fill="F3F7F8"/>
          </w:tcPr>
          <w:p>
            <w:pPr>
              <w:spacing w:after="40" w:before="20" w:line="252" w:lineRule="auto"/>
            </w:pPr>
            <w:r>
              <w:rPr>
                <w:sz w:val="16"/>
              </w:rPr>
              <w:t>Fuente del estímulo</w:t>
            </w:r>
          </w:p>
        </w:tc>
        <w:tc>
          <w:tcPr>
            <w:tcW w:type="dxa" w:w="6917"/>
            <w:vAlign w:val="top"/>
            <w:shd w:fill="F3F7F8"/>
          </w:tcPr>
          <w:p>
            <w:pPr>
              <w:spacing w:after="40" w:before="20" w:line="252" w:lineRule="auto"/>
            </w:pPr>
            <w:r>
              <w:rPr>
                <w:sz w:val="16"/>
              </w:rPr>
              <w:t>Operador móvil sin conectividad</w:t>
            </w:r>
          </w:p>
        </w:tc>
      </w:tr>
      <w:tr>
        <w:trPr>
          <w:cantSplit/>
        </w:trPr>
        <w:tc>
          <w:tcPr>
            <w:tcW w:type="dxa" w:w="2268"/>
            <w:vAlign w:val="top"/>
          </w:tcPr>
          <w:p>
            <w:pPr>
              <w:spacing w:after="40" w:before="20" w:line="252" w:lineRule="auto"/>
            </w:pPr>
            <w:r>
              <w:rPr>
                <w:sz w:val="16"/>
              </w:rPr>
              <w:t>Estímulo</w:t>
            </w:r>
          </w:p>
        </w:tc>
        <w:tc>
          <w:tcPr>
            <w:tcW w:type="dxa" w:w="6917"/>
            <w:vAlign w:val="top"/>
          </w:tcPr>
          <w:p>
            <w:pPr>
              <w:spacing w:after="40" w:before="20" w:line="252" w:lineRule="auto"/>
            </w:pPr>
            <w:r>
              <w:rPr>
                <w:sz w:val="16"/>
              </w:rPr>
              <w:t>Registra un movimiento desconectado y sincroniza tras recuperar la red; otro usuario modifica el mismo cilindro.</w:t>
            </w:r>
          </w:p>
        </w:tc>
      </w:tr>
      <w:tr>
        <w:trPr>
          <w:cantSplit/>
        </w:trPr>
        <w:tc>
          <w:tcPr>
            <w:tcW w:type="dxa" w:w="2268"/>
            <w:vAlign w:val="top"/>
            <w:shd w:fill="F3F7F8"/>
          </w:tcPr>
          <w:p>
            <w:pPr>
              <w:spacing w:after="40" w:before="20" w:line="252" w:lineRule="auto"/>
            </w:pPr>
            <w:r>
              <w:rPr>
                <w:sz w:val="16"/>
              </w:rPr>
              <w:t>Entorno</w:t>
            </w:r>
          </w:p>
        </w:tc>
        <w:tc>
          <w:tcPr>
            <w:tcW w:type="dxa" w:w="6917"/>
            <w:vAlign w:val="top"/>
            <w:shd w:fill="F3F7F8"/>
          </w:tcPr>
          <w:p>
            <w:pPr>
              <w:spacing w:after="40" w:before="20" w:line="252" w:lineRule="auto"/>
            </w:pPr>
            <w:r>
              <w:rPr>
                <w:sz w:val="16"/>
              </w:rPr>
              <w:t>Dos clientes con datos divergentes; mecanismo offline todavía no definido.</w:t>
            </w:r>
          </w:p>
        </w:tc>
      </w:tr>
      <w:tr>
        <w:trPr>
          <w:cantSplit/>
        </w:trPr>
        <w:tc>
          <w:tcPr>
            <w:tcW w:type="dxa" w:w="2268"/>
            <w:vAlign w:val="top"/>
          </w:tcPr>
          <w:p>
            <w:pPr>
              <w:spacing w:after="40" w:before="20" w:line="252" w:lineRule="auto"/>
            </w:pPr>
            <w:r>
              <w:rPr>
                <w:sz w:val="16"/>
              </w:rPr>
              <w:t>Artefacto</w:t>
            </w:r>
          </w:p>
        </w:tc>
        <w:tc>
          <w:tcPr>
            <w:tcW w:type="dxa" w:w="6917"/>
            <w:vAlign w:val="top"/>
          </w:tcPr>
          <w:p>
            <w:pPr>
              <w:spacing w:after="40" w:before="20" w:line="252" w:lineRule="auto"/>
            </w:pPr>
            <w:r>
              <w:rPr>
                <w:sz w:val="16"/>
              </w:rPr>
              <w:t>Almacenamiento local, API y datos centrales.</w:t>
            </w:r>
          </w:p>
        </w:tc>
      </w:tr>
      <w:tr>
        <w:trPr>
          <w:cantSplit/>
        </w:trPr>
        <w:tc>
          <w:tcPr>
            <w:tcW w:type="dxa" w:w="2268"/>
            <w:vAlign w:val="top"/>
            <w:shd w:fill="F3F7F8"/>
          </w:tcPr>
          <w:p>
            <w:pPr>
              <w:spacing w:after="40" w:before="20" w:line="252" w:lineRule="auto"/>
            </w:pPr>
            <w:r>
              <w:rPr>
                <w:sz w:val="16"/>
              </w:rPr>
              <w:t>Respuesta esperada</w:t>
            </w:r>
          </w:p>
        </w:tc>
        <w:tc>
          <w:tcPr>
            <w:tcW w:type="dxa" w:w="6917"/>
            <w:vAlign w:val="top"/>
            <w:shd w:fill="F3F7F8"/>
          </w:tcPr>
          <w:p>
            <w:pPr>
              <w:spacing w:after="40" w:before="20" w:line="252" w:lineRule="auto"/>
            </w:pPr>
            <w:r>
              <w:rPr>
                <w:sz w:val="16"/>
              </w:rPr>
              <w:t>El sistema evita doble despacho o registra conflicto explícito, preserva auditoría y no confirma una operación inválida silenciosamente.</w:t>
            </w:r>
          </w:p>
        </w:tc>
      </w:tr>
      <w:tr>
        <w:trPr>
          <w:cantSplit/>
        </w:trPr>
        <w:tc>
          <w:tcPr>
            <w:tcW w:type="dxa" w:w="2268"/>
            <w:vAlign w:val="top"/>
          </w:tcPr>
          <w:p>
            <w:pPr>
              <w:spacing w:after="40" w:before="20" w:line="252" w:lineRule="auto"/>
            </w:pPr>
            <w:r>
              <w:rPr>
                <w:sz w:val="16"/>
              </w:rPr>
              <w:t>Medida de respuesta</w:t>
            </w:r>
          </w:p>
        </w:tc>
        <w:tc>
          <w:tcPr>
            <w:tcW w:type="dxa" w:w="6917"/>
            <w:vAlign w:val="top"/>
          </w:tcPr>
          <w:p>
            <w:pPr>
              <w:spacing w:after="40" w:before="20" w:line="252" w:lineRule="auto"/>
            </w:pPr>
            <w:r>
              <w:rPr>
                <w:sz w:val="16"/>
              </w:rPr>
              <w:t>0 pérdidas silenciosas y 0 estados incompatibles al ejecutar una batería de conflictos definida; registrar resolución y trazabilidad.</w:t>
            </w:r>
          </w:p>
        </w:tc>
      </w:tr>
      <w:tr>
        <w:trPr>
          <w:cantSplit/>
        </w:trPr>
        <w:tc>
          <w:tcPr>
            <w:tcW w:type="dxa" w:w="2268"/>
            <w:vAlign w:val="top"/>
            <w:shd w:fill="F3F7F8"/>
          </w:tcPr>
          <w:p>
            <w:pPr>
              <w:spacing w:after="40" w:before="20" w:line="252" w:lineRule="auto"/>
            </w:pPr>
            <w:r>
              <w:rPr>
                <w:sz w:val="16"/>
              </w:rPr>
              <w:t>Estado de evaluación</w:t>
            </w:r>
          </w:p>
        </w:tc>
        <w:tc>
          <w:tcPr>
            <w:tcW w:type="dxa" w:w="6917"/>
            <w:vAlign w:val="top"/>
            <w:shd w:fill="F3F7F8"/>
          </w:tcPr>
          <w:p>
            <w:pPr>
              <w:spacing w:after="40" w:before="20" w:line="252" w:lineRule="auto"/>
            </w:pPr>
            <w:r>
              <w:rPr>
                <w:sz w:val="16"/>
              </w:rPr>
              <w:t>D: evaluar sincronización offline como capacidad prevista. V: ensayar conflictos e idempotencia cuando exista diseño implementado.</w:t>
            </w:r>
          </w:p>
        </w:tc>
      </w:tr>
    </w:tbl>
    <w:p>
      <w:pPr>
        <w:spacing w:after="20"/>
      </w:pPr>
    </w:p>
    <w:p>
      <w:r>
        <w:rPr>
          <w:b/>
        </w:rPr>
        <w:t xml:space="preserve">Enfoque arquitectónico: </w:t>
      </w:r>
      <w:r>
        <w:t>Diseñar cola local, idempotencia, versionado de registros y reglas de conciliación antes de validar.</w:t>
      </w:r>
    </w:p>
    <w:p>
      <w:r>
        <w:rPr>
          <w:b/>
        </w:rPr>
        <w:t xml:space="preserve">Evidencia de Fase 1: </w:t>
      </w:r>
      <w:r>
        <w:t>escenario y principios de diseño para sincronización offline contemplada en el proyecto.</w:t>
      </w:r>
    </w:p>
    <w:p>
      <w:r>
        <w:rPr>
          <w:b/>
        </w:rPr>
        <w:t xml:space="preserve">Límite de la evaluación: </w:t>
      </w:r>
      <w:r>
        <w:t>las garantías de consistencia offline no pueden deducirse del diseño online; requieren diseño y pruebas específicos.</w:t>
      </w:r>
    </w:p>
    <w:p>
      <w:pPr>
        <w:pStyle w:val="Heading3"/>
      </w:pPr>
      <w:r>
        <w:t>EC-09 · Integración futura con Azure y Power BI</w:t>
      </w:r>
    </w:p>
    <w:tbl>
      <w:tblPr>
        <w:tblStyle w:val="TableGrid"/>
        <w:tblW w:type="auto" w:w="0"/>
        <w:jc w:val="center"/>
        <w:tblLayout w:type="fixed"/>
        <w:tblLook w:firstColumn="1" w:firstRow="1" w:lastColumn="0" w:lastRow="0" w:noHBand="0" w:noVBand="1" w:val="04A0"/>
      </w:tblPr>
      <w:tblGrid>
        <w:gridCol w:w="2268"/>
        <w:gridCol w:w="6917"/>
      </w:tblGrid>
      <w:tr>
        <w:trPr>
          <w:tblHeader w:val="true"/>
        </w:trPr>
        <w:tc>
          <w:tcPr>
            <w:tcW w:type="dxa" w:w="4677"/>
            <w:vAlign w:val="center"/>
            <w:shd w:fill="18485A"/>
          </w:tcPr>
          <w:p>
            <w:pPr>
              <w:spacing w:after="0"/>
            </w:pPr>
            <w:r>
              <w:rPr>
                <w:b/>
                <w:color w:val="FFFFFF"/>
                <w:sz w:val="16"/>
              </w:rPr>
              <w:t>Campo</w:t>
            </w:r>
          </w:p>
        </w:tc>
        <w:tc>
          <w:tcPr>
            <w:tcW w:type="dxa" w:w="4677"/>
            <w:vAlign w:val="center"/>
            <w:shd w:fill="18485A"/>
          </w:tcPr>
          <w:p>
            <w:pPr>
              <w:spacing w:after="0"/>
            </w:pPr>
            <w:r>
              <w:rPr>
                <w:b/>
                <w:color w:val="FFFFFF"/>
                <w:sz w:val="16"/>
              </w:rPr>
              <w:t>Definición para AFRISAN</w:t>
            </w:r>
          </w:p>
        </w:tc>
      </w:tr>
      <w:tr>
        <w:trPr>
          <w:cantSplit/>
        </w:trPr>
        <w:tc>
          <w:tcPr>
            <w:tcW w:type="dxa" w:w="2268"/>
            <w:vAlign w:val="top"/>
          </w:tcPr>
          <w:p>
            <w:pPr>
              <w:spacing w:after="40" w:before="20" w:line="252" w:lineRule="auto"/>
            </w:pPr>
            <w:r>
              <w:rPr>
                <w:sz w:val="16"/>
              </w:rPr>
              <w:t>Atributo</w:t>
            </w:r>
          </w:p>
        </w:tc>
        <w:tc>
          <w:tcPr>
            <w:tcW w:type="dxa" w:w="6917"/>
            <w:vAlign w:val="top"/>
          </w:tcPr>
          <w:p>
            <w:pPr>
              <w:spacing w:after="40" w:before="20" w:line="252" w:lineRule="auto"/>
            </w:pPr>
            <w:r>
              <w:rPr>
                <w:sz w:val="16"/>
              </w:rPr>
              <w:t>Interoperabilidad / seguridad</w:t>
            </w:r>
          </w:p>
        </w:tc>
      </w:tr>
      <w:tr>
        <w:trPr>
          <w:cantSplit/>
        </w:trPr>
        <w:tc>
          <w:tcPr>
            <w:tcW w:type="dxa" w:w="2268"/>
            <w:vAlign w:val="top"/>
            <w:shd w:fill="F3F7F8"/>
          </w:tcPr>
          <w:p>
            <w:pPr>
              <w:spacing w:after="40" w:before="20" w:line="252" w:lineRule="auto"/>
            </w:pPr>
            <w:r>
              <w:rPr>
                <w:sz w:val="16"/>
              </w:rPr>
              <w:t>Fuente del estímulo</w:t>
            </w:r>
          </w:p>
        </w:tc>
        <w:tc>
          <w:tcPr>
            <w:tcW w:type="dxa" w:w="6917"/>
            <w:vAlign w:val="top"/>
            <w:shd w:fill="F3F7F8"/>
          </w:tcPr>
          <w:p>
            <w:pPr>
              <w:spacing w:after="40" w:before="20" w:line="252" w:lineRule="auto"/>
            </w:pPr>
            <w:r>
              <w:rPr>
                <w:sz w:val="16"/>
              </w:rPr>
              <w:t>Administrador o proceso de exportación</w:t>
            </w:r>
          </w:p>
        </w:tc>
      </w:tr>
      <w:tr>
        <w:trPr>
          <w:cantSplit/>
        </w:trPr>
        <w:tc>
          <w:tcPr>
            <w:tcW w:type="dxa" w:w="2268"/>
            <w:vAlign w:val="top"/>
          </w:tcPr>
          <w:p>
            <w:pPr>
              <w:spacing w:after="40" w:before="20" w:line="252" w:lineRule="auto"/>
            </w:pPr>
            <w:r>
              <w:rPr>
                <w:sz w:val="16"/>
              </w:rPr>
              <w:t>Estímulo</w:t>
            </w:r>
          </w:p>
        </w:tc>
        <w:tc>
          <w:tcPr>
            <w:tcW w:type="dxa" w:w="6917"/>
            <w:vAlign w:val="top"/>
          </w:tcPr>
          <w:p>
            <w:pPr>
              <w:spacing w:after="40" w:before="20" w:line="252" w:lineRule="auto"/>
            </w:pPr>
            <w:r>
              <w:rPr>
                <w:sz w:val="16"/>
              </w:rPr>
              <w:t>Configura despliegue cloud y extrae datos para análisis.</w:t>
            </w:r>
          </w:p>
        </w:tc>
      </w:tr>
      <w:tr>
        <w:trPr>
          <w:cantSplit/>
        </w:trPr>
        <w:tc>
          <w:tcPr>
            <w:tcW w:type="dxa" w:w="2268"/>
            <w:vAlign w:val="top"/>
            <w:shd w:fill="F3F7F8"/>
          </w:tcPr>
          <w:p>
            <w:pPr>
              <w:spacing w:after="40" w:before="20" w:line="252" w:lineRule="auto"/>
            </w:pPr>
            <w:r>
              <w:rPr>
                <w:sz w:val="16"/>
              </w:rPr>
              <w:t>Entorno</w:t>
            </w:r>
          </w:p>
        </w:tc>
        <w:tc>
          <w:tcPr>
            <w:tcW w:type="dxa" w:w="6917"/>
            <w:vAlign w:val="top"/>
            <w:shd w:fill="F3F7F8"/>
          </w:tcPr>
          <w:p>
            <w:pPr>
              <w:spacing w:after="40" w:before="20" w:line="252" w:lineRule="auto"/>
            </w:pPr>
            <w:r>
              <w:rPr>
                <w:sz w:val="16"/>
              </w:rPr>
              <w:t>Infraestructura, identidades y contratos de datos definidos.</w:t>
            </w:r>
          </w:p>
        </w:tc>
      </w:tr>
      <w:tr>
        <w:trPr>
          <w:cantSplit/>
        </w:trPr>
        <w:tc>
          <w:tcPr>
            <w:tcW w:type="dxa" w:w="2268"/>
            <w:vAlign w:val="top"/>
          </w:tcPr>
          <w:p>
            <w:pPr>
              <w:spacing w:after="40" w:before="20" w:line="252" w:lineRule="auto"/>
            </w:pPr>
            <w:r>
              <w:rPr>
                <w:sz w:val="16"/>
              </w:rPr>
              <w:t>Artefacto</w:t>
            </w:r>
          </w:p>
        </w:tc>
        <w:tc>
          <w:tcPr>
            <w:tcW w:type="dxa" w:w="6917"/>
            <w:vAlign w:val="top"/>
          </w:tcPr>
          <w:p>
            <w:pPr>
              <w:spacing w:after="40" w:before="20" w:line="252" w:lineRule="auto"/>
            </w:pPr>
            <w:r>
              <w:rPr>
                <w:sz w:val="16"/>
              </w:rPr>
              <w:t>Despliegue, API o capa de datos de análisis, credenciales.</w:t>
            </w:r>
          </w:p>
        </w:tc>
      </w:tr>
      <w:tr>
        <w:trPr>
          <w:cantSplit/>
        </w:trPr>
        <w:tc>
          <w:tcPr>
            <w:tcW w:type="dxa" w:w="2268"/>
            <w:vAlign w:val="top"/>
            <w:shd w:fill="F3F7F8"/>
          </w:tcPr>
          <w:p>
            <w:pPr>
              <w:spacing w:after="40" w:before="20" w:line="252" w:lineRule="auto"/>
            </w:pPr>
            <w:r>
              <w:rPr>
                <w:sz w:val="16"/>
              </w:rPr>
              <w:t>Respuesta esperada</w:t>
            </w:r>
          </w:p>
        </w:tc>
        <w:tc>
          <w:tcPr>
            <w:tcW w:type="dxa" w:w="6917"/>
            <w:vAlign w:val="top"/>
            <w:shd w:fill="F3F7F8"/>
          </w:tcPr>
          <w:p>
            <w:pPr>
              <w:spacing w:after="40" w:before="20" w:line="252" w:lineRule="auto"/>
            </w:pPr>
            <w:r>
              <w:rPr>
                <w:sz w:val="16"/>
              </w:rPr>
              <w:t>La infraestructura mantiene integridad de operaciones; la extracción respeta permisos y evita exponer secretos o datos personales.</w:t>
            </w:r>
          </w:p>
        </w:tc>
      </w:tr>
      <w:tr>
        <w:trPr>
          <w:cantSplit/>
        </w:trPr>
        <w:tc>
          <w:tcPr>
            <w:tcW w:type="dxa" w:w="2268"/>
            <w:vAlign w:val="top"/>
          </w:tcPr>
          <w:p>
            <w:pPr>
              <w:spacing w:after="40" w:before="20" w:line="252" w:lineRule="auto"/>
            </w:pPr>
            <w:r>
              <w:rPr>
                <w:sz w:val="16"/>
              </w:rPr>
              <w:t>Medida de respuesta</w:t>
            </w:r>
          </w:p>
        </w:tc>
        <w:tc>
          <w:tcPr>
            <w:tcW w:type="dxa" w:w="6917"/>
            <w:vAlign w:val="top"/>
          </w:tcPr>
          <w:p>
            <w:pPr>
              <w:spacing w:after="40" w:before="20" w:line="252" w:lineRule="auto"/>
            </w:pPr>
            <w:r>
              <w:rPr>
                <w:sz w:val="16"/>
              </w:rPr>
              <w:t>Matriz de permisos y contrato de extracción aprobados; ejecutar pruebas de conectividad, filtrado, actualización y seguridad.</w:t>
            </w:r>
          </w:p>
        </w:tc>
      </w:tr>
      <w:tr>
        <w:trPr>
          <w:cantSplit/>
        </w:trPr>
        <w:tc>
          <w:tcPr>
            <w:tcW w:type="dxa" w:w="2268"/>
            <w:vAlign w:val="top"/>
            <w:shd w:fill="F3F7F8"/>
          </w:tcPr>
          <w:p>
            <w:pPr>
              <w:spacing w:after="40" w:before="20" w:line="252" w:lineRule="auto"/>
            </w:pPr>
            <w:r>
              <w:rPr>
                <w:sz w:val="16"/>
              </w:rPr>
              <w:t>Estado de evaluación</w:t>
            </w:r>
          </w:p>
        </w:tc>
        <w:tc>
          <w:tcPr>
            <w:tcW w:type="dxa" w:w="6917"/>
            <w:vAlign w:val="top"/>
            <w:shd w:fill="F3F7F8"/>
          </w:tcPr>
          <w:p>
            <w:pPr>
              <w:spacing w:after="40" w:before="20" w:line="252" w:lineRule="auto"/>
            </w:pPr>
            <w:r>
              <w:rPr>
                <w:sz w:val="16"/>
              </w:rPr>
              <w:t>D: definir contratos y controles de futuras integraciones. V: comprobar despliegue y extracción de datos cuando corresponda.</w:t>
            </w:r>
          </w:p>
        </w:tc>
      </w:tr>
    </w:tbl>
    <w:p>
      <w:pPr>
        <w:spacing w:after="20"/>
      </w:pPr>
    </w:p>
    <w:p>
      <w:r>
        <w:rPr>
          <w:b/>
        </w:rPr>
        <w:t xml:space="preserve">Enfoque arquitectónico: </w:t>
      </w:r>
      <w:r>
        <w:t>Separar configuración de entorno, identidad y vistas/consultas para análisis; decidir patrón concreto al diseñarlas.</w:t>
      </w:r>
    </w:p>
    <w:p>
      <w:r>
        <w:rPr>
          <w:b/>
        </w:rPr>
        <w:t xml:space="preserve">Evidencia de Fase 1: </w:t>
      </w:r>
      <w:r>
        <w:t>escenarios de integración, seguridad y extracción asociados al despliegue previsto y análisis BI.</w:t>
      </w:r>
    </w:p>
    <w:p>
      <w:r>
        <w:rPr>
          <w:b/>
        </w:rPr>
        <w:t xml:space="preserve">Límite de la evaluación: </w:t>
      </w:r>
      <w:r>
        <w:t>las garantías de Azure o Power BI no equivalen a cumplimiento del sistema; deben comprobarse sobre el despliegue definido.</w:t>
      </w:r>
    </w:p>
    <w:p>
      <w:pPr>
        <w:pStyle w:val="Heading1"/>
      </w:pPr>
      <w:r>
        <w:t>Paso 6. Analizar enfoques frente a escenarios priorizados</w:t>
      </w:r>
    </w:p>
    <w:p>
      <w:r>
        <w:t>Se analizan de forma prospectiva las decisiones de la arquitectura candidata frente a los escenarios de integridad, trazabilidad y seguridad. Los recorridos siguientes anticipan consecuencias técnicas y establecen criterios de verificación, sin describir código ejecutado ni pruebas completadas.</w:t>
      </w:r>
    </w:p>
    <w:p>
      <w:pPr>
        <w:pStyle w:val="Heading2"/>
      </w:pPr>
      <w:r>
        <w:t>EC-01: unicidad de códigos</w:t>
      </w:r>
    </w:p>
    <w:p>
      <w:r>
        <w:rPr>
          <w:b/>
        </w:rPr>
        <w:t xml:space="preserve">Recorrido esperado. </w:t>
      </w:r>
      <w:r>
        <w:t>La interfaz solicita un alta; la API asigna el código y PostgreSQL intenta persistirlo. Se propone un índice UNIQUE que rechace códigos duplicados; el tratamiento del conflicto deberá devolver una respuesta controlada.</w:t>
      </w:r>
    </w:p>
    <w:p>
      <w:r>
        <w:rPr>
          <w:b/>
        </w:rPr>
        <w:t xml:space="preserve">No riesgo condicionado NR-01 (hipótesis de diseño). </w:t>
      </w:r>
      <w:r>
        <w:t>Si se define y aplica un índice único a la columna de identificación, habrá una barrera persistente frente a duplicados exactos, independiente de la validación visual. Su eficacia y normalización requerirán pruebas.</w:t>
      </w:r>
    </w:p>
    <w:p>
      <w:r>
        <w:rPr>
          <w:b/>
        </w:rPr>
        <w:t xml:space="preserve">Riesgo R-01. </w:t>
      </w:r>
      <w:r>
        <w:t>Un algoritmo de generación o un manejo de errores insuficiente podría producir colisiones, fallos no controlados o variantes del identificador. Mitigación prevista: formato único, restricción persistente y prueba de concurrencia.</w:t>
      </w:r>
    </w:p>
    <w:p>
      <w:r>
        <w:rPr>
          <w:b/>
        </w:rPr>
        <w:t xml:space="preserve">Sensibilidad S-01. </w:t>
      </w:r>
      <w:r>
        <w:t>Algoritmo y espacio de códigos; frecuencia de colisiones; estrategia de reintento. La unicidad del código no garantiza por sí sola la unicidad de la identidad física de cilindros mal etiquetados.</w:t>
      </w:r>
    </w:p>
    <w:p>
      <w:pPr>
        <w:pStyle w:val="Heading2"/>
      </w:pPr>
      <w:r>
        <w:t>EC-02: despacho duplicado</w:t>
      </w:r>
    </w:p>
    <w:p>
      <w:r>
        <w:rPr>
          <w:b/>
        </w:rPr>
        <w:t xml:space="preserve">Recorrido. </w:t>
      </w:r>
      <w:r>
        <w:t>Dos operaciones leen “disponible”; ambas pueden intentar escribir “despachado”. Si comprobación y escritura no están protegidas como una única operación lógica, existe una condición de carrera.</w:t>
      </w:r>
    </w:p>
    <w:p>
      <w:r>
        <w:rPr>
          <w:b/>
        </w:rPr>
        <w:t xml:space="preserve">Riesgo R-02. </w:t>
      </w:r>
      <w:r>
        <w:t>Validar el estado y escribirlo por separado permitiría un doble despacho bajo concurrencia. Se propone definir una operación atómica y planificar pruebas simultáneas de despacho y retorno.</w:t>
      </w:r>
    </w:p>
    <w:p>
      <w:r>
        <w:rPr>
          <w:b/>
        </w:rPr>
        <w:t xml:space="preserve">Sensibilidad S-02. </w:t>
      </w:r>
      <w:r>
        <w:t>Tiempo entre lectura de estado y escritura, nivel de aislamiento y cantidad de solicitudes concurrentes.</w:t>
      </w:r>
    </w:p>
    <w:p>
      <w:r>
        <w:rPr>
          <w:b/>
        </w:rPr>
        <w:t xml:space="preserve">Compromiso C-01. </w:t>
      </w:r>
      <w:r>
        <w:t>El bloqueo/persistencia transaccional favorece integridad, pero puede aumentar contención y latencia; debe medirse con carga realista antes de ajustar el mecanismo.</w:t>
      </w:r>
    </w:p>
    <w:p>
      <w:pPr>
        <w:pStyle w:val="Heading2"/>
      </w:pPr>
      <w:r>
        <w:t>EC-03 y EC-04: historial y seguridad</w:t>
      </w:r>
    </w:p>
    <w:p>
      <w:r>
        <w:rPr>
          <w:b/>
        </w:rPr>
        <w:t xml:space="preserve">Recorrido esperado. </w:t>
      </w:r>
      <w:r>
        <w:t>La lectura del QR identifica un cilindro y la API consulta sus movimientos. Sin autorización por usuario y objeto, conocer la referencia podría exponer información que no corresponde al solicitante.</w:t>
      </w:r>
    </w:p>
    <w:p>
      <w:r>
        <w:rPr>
          <w:b/>
        </w:rPr>
        <w:t xml:space="preserve">Riesgo R-03. </w:t>
      </w:r>
      <w:r>
        <w:t>Tratar el QR como credencial permitiría acceso indebido. Decisión de mejora: autenticación y autorización sobre la API, con auditoría del actor y del recurso consultado.</w:t>
      </w:r>
    </w:p>
    <w:p>
      <w:r>
        <w:rPr>
          <w:b/>
        </w:rPr>
        <w:t xml:space="preserve">Sensibilidad S-03. </w:t>
      </w:r>
      <w:r>
        <w:t>Granularidad de permisos: por rol, operación, cilindro, ubicación o empresa. Cambia la complejidad del control de acceso y del modelo de datos.</w:t>
      </w:r>
    </w:p>
    <w:p>
      <w:r>
        <w:rPr>
          <w:b/>
        </w:rPr>
        <w:t xml:space="preserve">Compromiso C-02. </w:t>
      </w:r>
      <w:r>
        <w:t>Permisos granulares reducen acceso indebido, pero agregan consultas, manejo de excepciones y complejidad de administración.</w:t>
      </w:r>
    </w:p>
    <w:p>
      <w:pPr>
        <w:pStyle w:val="Heading2"/>
      </w:pPr>
      <w:r>
        <w:t>EC-07: masa, datos y dominio</w:t>
      </w:r>
    </w:p>
    <w:p>
      <w:r>
        <w:rPr>
          <w:b/>
        </w:rPr>
        <w:t xml:space="preserve">Riesgo R-04. </w:t>
      </w:r>
      <w:r>
        <w:t>Si no se especifican capacidad, tara, peso neto/bruto, unidades y tolerancias, el diseño no podrá garantizar coherencia material aunque las relaciones de base de datos sean correctas.</w:t>
      </w:r>
    </w:p>
    <w:p>
      <w:r>
        <w:rPr>
          <w:b/>
        </w:rPr>
        <w:t xml:space="preserve">Acción arquitectónica propuesta. </w:t>
      </w:r>
      <w:r>
        <w:t>Definir invariantes de masa y persistencia atómica de cilindro/movimiento, documentar rectificaciones y preparar pruebas de límites y conciliación.</w:t>
      </w:r>
    </w:p>
    <w:p>
      <w:pPr>
        <w:pStyle w:val="Heading1"/>
      </w:pPr>
      <w:r>
        <w:t>Paso 7. Generar y priorizar escenarios con interesados</w:t>
      </w:r>
    </w:p>
    <w:p>
      <w:r>
        <w:t>Este paso requiere una sesión real de generación y priorización con interesados. En Fase 1 se propone la cartera siguiente para someterla a discusión; ninguna prioridad se declara votada o aprobada.</w:t>
      </w:r>
    </w:p>
    <w:tbl>
      <w:tblPr>
        <w:tblStyle w:val="TableGrid"/>
        <w:tblW w:type="auto" w:w="0"/>
        <w:jc w:val="center"/>
        <w:tblLayout w:type="fixed"/>
        <w:tblLook w:firstColumn="1" w:firstRow="1" w:lastColumn="0" w:lastRow="0" w:noHBand="0" w:noVBand="1" w:val="04A0"/>
      </w:tblPr>
      <w:tblGrid>
        <w:gridCol w:w="1020"/>
        <w:gridCol w:w="6633"/>
        <w:gridCol w:w="1531"/>
      </w:tblGrid>
      <w:tr>
        <w:trPr>
          <w:tblHeader w:val="true"/>
        </w:trPr>
        <w:tc>
          <w:tcPr>
            <w:tcW w:type="dxa" w:w="3118"/>
            <w:vAlign w:val="center"/>
            <w:shd w:fill="18485A"/>
          </w:tcPr>
          <w:p>
            <w:pPr>
              <w:spacing w:after="0"/>
            </w:pPr>
            <w:r>
              <w:rPr>
                <w:b/>
                <w:color w:val="FFFFFF"/>
                <w:sz w:val="16"/>
              </w:rPr>
              <w:t>ID</w:t>
            </w:r>
          </w:p>
        </w:tc>
        <w:tc>
          <w:tcPr>
            <w:tcW w:type="dxa" w:w="3118"/>
            <w:vAlign w:val="center"/>
            <w:shd w:fill="18485A"/>
          </w:tcPr>
          <w:p>
            <w:pPr>
              <w:spacing w:after="0"/>
            </w:pPr>
            <w:r>
              <w:rPr>
                <w:b/>
                <w:color w:val="FFFFFF"/>
                <w:sz w:val="16"/>
              </w:rPr>
              <w:t>Interesado sugerido / escenario adicional</w:t>
            </w:r>
          </w:p>
        </w:tc>
        <w:tc>
          <w:tcPr>
            <w:tcW w:type="dxa" w:w="3118"/>
            <w:vAlign w:val="center"/>
            <w:shd w:fill="18485A"/>
          </w:tcPr>
          <w:p>
            <w:pPr>
              <w:spacing w:after="0"/>
            </w:pPr>
            <w:r>
              <w:rPr>
                <w:b/>
                <w:color w:val="FFFFFF"/>
                <w:sz w:val="16"/>
              </w:rPr>
              <w:t>Prioridad propuesta</w:t>
            </w:r>
          </w:p>
        </w:tc>
      </w:tr>
      <w:tr>
        <w:trPr>
          <w:cantSplit/>
        </w:trPr>
        <w:tc>
          <w:tcPr>
            <w:tcW w:type="dxa" w:w="1020"/>
            <w:vAlign w:val="top"/>
          </w:tcPr>
          <w:p>
            <w:pPr>
              <w:spacing w:after="40" w:before="20" w:line="252" w:lineRule="auto"/>
            </w:pPr>
            <w:r>
              <w:rPr>
                <w:sz w:val="16"/>
              </w:rPr>
              <w:t>EA-01</w:t>
            </w:r>
          </w:p>
        </w:tc>
        <w:tc>
          <w:tcPr>
            <w:tcW w:type="dxa" w:w="6633"/>
            <w:vAlign w:val="top"/>
          </w:tcPr>
          <w:p>
            <w:pPr>
              <w:spacing w:after="40" w:before="20" w:line="252" w:lineRule="auto"/>
            </w:pPr>
            <w:r>
              <w:rPr>
                <w:sz w:val="16"/>
              </w:rPr>
              <w:t>Encargado de inventario: dos operadores intentan retornar y despachar simultáneamente el mismo cilindro.</w:t>
            </w:r>
          </w:p>
        </w:tc>
        <w:tc>
          <w:tcPr>
            <w:tcW w:type="dxa" w:w="1531"/>
            <w:vAlign w:val="top"/>
          </w:tcPr>
          <w:p>
            <w:pPr>
              <w:spacing w:after="40" w:before="20" w:line="252" w:lineRule="auto"/>
            </w:pPr>
            <w:r>
              <w:rPr>
                <w:sz w:val="16"/>
              </w:rPr>
              <w:t>Alta</w:t>
            </w:r>
          </w:p>
        </w:tc>
      </w:tr>
      <w:tr>
        <w:trPr>
          <w:cantSplit/>
        </w:trPr>
        <w:tc>
          <w:tcPr>
            <w:tcW w:type="dxa" w:w="1020"/>
            <w:vAlign w:val="top"/>
            <w:shd w:fill="F3F7F8"/>
          </w:tcPr>
          <w:p>
            <w:pPr>
              <w:spacing w:after="40" w:before="20" w:line="252" w:lineRule="auto"/>
            </w:pPr>
            <w:r>
              <w:rPr>
                <w:sz w:val="16"/>
              </w:rPr>
              <w:t>EA-02</w:t>
            </w:r>
          </w:p>
        </w:tc>
        <w:tc>
          <w:tcPr>
            <w:tcW w:type="dxa" w:w="6633"/>
            <w:vAlign w:val="top"/>
            <w:shd w:fill="F3F7F8"/>
          </w:tcPr>
          <w:p>
            <w:pPr>
              <w:spacing w:after="40" w:before="20" w:line="252" w:lineRule="auto"/>
            </w:pPr>
            <w:r>
              <w:rPr>
                <w:sz w:val="16"/>
              </w:rPr>
              <w:t>Supervisor: se corrige un movimiento erróneo sin borrar el historial original; debe permanecer el actor y la razón de la rectificación.</w:t>
            </w:r>
          </w:p>
        </w:tc>
        <w:tc>
          <w:tcPr>
            <w:tcW w:type="dxa" w:w="1531"/>
            <w:vAlign w:val="top"/>
            <w:shd w:fill="F3F7F8"/>
          </w:tcPr>
          <w:p>
            <w:pPr>
              <w:spacing w:after="40" w:before="20" w:line="252" w:lineRule="auto"/>
            </w:pPr>
            <w:r>
              <w:rPr>
                <w:sz w:val="16"/>
              </w:rPr>
              <w:t>Alta</w:t>
            </w:r>
          </w:p>
        </w:tc>
      </w:tr>
      <w:tr>
        <w:trPr>
          <w:cantSplit/>
        </w:trPr>
        <w:tc>
          <w:tcPr>
            <w:tcW w:type="dxa" w:w="1020"/>
            <w:vAlign w:val="top"/>
          </w:tcPr>
          <w:p>
            <w:pPr>
              <w:spacing w:after="40" w:before="20" w:line="252" w:lineRule="auto"/>
            </w:pPr>
            <w:r>
              <w:rPr>
                <w:sz w:val="16"/>
              </w:rPr>
              <w:t>EA-03</w:t>
            </w:r>
          </w:p>
        </w:tc>
        <w:tc>
          <w:tcPr>
            <w:tcW w:type="dxa" w:w="6633"/>
            <w:vAlign w:val="top"/>
          </w:tcPr>
          <w:p>
            <w:pPr>
              <w:spacing w:after="40" w:before="20" w:line="252" w:lineRule="auto"/>
            </w:pPr>
            <w:r>
              <w:rPr>
                <w:sz w:val="16"/>
              </w:rPr>
              <w:t>Responsable de seguridad: se extravía un QR y una persona ajena intenta leer datos del cilindro.</w:t>
            </w:r>
          </w:p>
        </w:tc>
        <w:tc>
          <w:tcPr>
            <w:tcW w:type="dxa" w:w="1531"/>
            <w:vAlign w:val="top"/>
          </w:tcPr>
          <w:p>
            <w:pPr>
              <w:spacing w:after="40" w:before="20" w:line="252" w:lineRule="auto"/>
            </w:pPr>
            <w:r>
              <w:rPr>
                <w:sz w:val="16"/>
              </w:rPr>
              <w:t>Alta</w:t>
            </w:r>
          </w:p>
        </w:tc>
      </w:tr>
      <w:tr>
        <w:trPr>
          <w:cantSplit/>
        </w:trPr>
        <w:tc>
          <w:tcPr>
            <w:tcW w:type="dxa" w:w="1020"/>
            <w:vAlign w:val="top"/>
            <w:shd w:fill="F3F7F8"/>
          </w:tcPr>
          <w:p>
            <w:pPr>
              <w:spacing w:after="40" w:before="20" w:line="252" w:lineRule="auto"/>
            </w:pPr>
            <w:r>
              <w:rPr>
                <w:sz w:val="16"/>
              </w:rPr>
              <w:t>EA-04</w:t>
            </w:r>
          </w:p>
        </w:tc>
        <w:tc>
          <w:tcPr>
            <w:tcW w:type="dxa" w:w="6633"/>
            <w:vAlign w:val="top"/>
            <w:shd w:fill="F3F7F8"/>
          </w:tcPr>
          <w:p>
            <w:pPr>
              <w:spacing w:after="40" w:before="20" w:line="252" w:lineRule="auto"/>
            </w:pPr>
            <w:r>
              <w:rPr>
                <w:sz w:val="16"/>
              </w:rPr>
              <w:t>Operador móvil: dispositivo cambia de red local a datos móviles durante una consulta o registro.</w:t>
            </w:r>
          </w:p>
        </w:tc>
        <w:tc>
          <w:tcPr>
            <w:tcW w:type="dxa" w:w="1531"/>
            <w:vAlign w:val="top"/>
            <w:shd w:fill="F3F7F8"/>
          </w:tcPr>
          <w:p>
            <w:pPr>
              <w:spacing w:after="40" w:before="20" w:line="252" w:lineRule="auto"/>
            </w:pPr>
            <w:r>
              <w:rPr>
                <w:sz w:val="16"/>
              </w:rPr>
              <w:t>Media</w:t>
            </w:r>
          </w:p>
        </w:tc>
      </w:tr>
      <w:tr>
        <w:trPr>
          <w:cantSplit/>
        </w:trPr>
        <w:tc>
          <w:tcPr>
            <w:tcW w:type="dxa" w:w="1020"/>
            <w:vAlign w:val="top"/>
          </w:tcPr>
          <w:p>
            <w:pPr>
              <w:spacing w:after="40" w:before="20" w:line="252" w:lineRule="auto"/>
            </w:pPr>
            <w:r>
              <w:rPr>
                <w:sz w:val="16"/>
              </w:rPr>
              <w:t>EA-05</w:t>
            </w:r>
          </w:p>
        </w:tc>
        <w:tc>
          <w:tcPr>
            <w:tcW w:type="dxa" w:w="6633"/>
            <w:vAlign w:val="top"/>
          </w:tcPr>
          <w:p>
            <w:pPr>
              <w:spacing w:after="40" w:before="20" w:line="252" w:lineRule="auto"/>
            </w:pPr>
            <w:r>
              <w:rPr>
                <w:sz w:val="16"/>
              </w:rPr>
              <w:t>Administrador: un respaldo se restaura y debe verificarse consistencia entre estado actual e historial.</w:t>
            </w:r>
          </w:p>
        </w:tc>
        <w:tc>
          <w:tcPr>
            <w:tcW w:type="dxa" w:w="1531"/>
            <w:vAlign w:val="top"/>
          </w:tcPr>
          <w:p>
            <w:pPr>
              <w:spacing w:after="40" w:before="20" w:line="252" w:lineRule="auto"/>
            </w:pPr>
            <w:r>
              <w:rPr>
                <w:sz w:val="16"/>
              </w:rPr>
              <w:t>Alta</w:t>
            </w:r>
          </w:p>
        </w:tc>
      </w:tr>
      <w:tr>
        <w:trPr>
          <w:cantSplit/>
        </w:trPr>
        <w:tc>
          <w:tcPr>
            <w:tcW w:type="dxa" w:w="1020"/>
            <w:vAlign w:val="top"/>
            <w:shd w:fill="F3F7F8"/>
          </w:tcPr>
          <w:p>
            <w:pPr>
              <w:spacing w:after="40" w:before="20" w:line="252" w:lineRule="auto"/>
            </w:pPr>
            <w:r>
              <w:rPr>
                <w:sz w:val="16"/>
              </w:rPr>
              <w:t>EA-06</w:t>
            </w:r>
          </w:p>
        </w:tc>
        <w:tc>
          <w:tcPr>
            <w:tcW w:type="dxa" w:w="6633"/>
            <w:vAlign w:val="top"/>
            <w:shd w:fill="F3F7F8"/>
          </w:tcPr>
          <w:p>
            <w:pPr>
              <w:spacing w:after="40" w:before="20" w:line="252" w:lineRule="auto"/>
            </w:pPr>
            <w:r>
              <w:rPr>
                <w:sz w:val="16"/>
              </w:rPr>
              <w:t>Operador offline: dos equipos sincronizan operaciones incompatibles tras horas sin conexión.</w:t>
            </w:r>
          </w:p>
        </w:tc>
        <w:tc>
          <w:tcPr>
            <w:tcW w:type="dxa" w:w="1531"/>
            <w:vAlign w:val="top"/>
            <w:shd w:fill="F3F7F8"/>
          </w:tcPr>
          <w:p>
            <w:pPr>
              <w:spacing w:after="40" w:before="20" w:line="252" w:lineRule="auto"/>
            </w:pPr>
            <w:r>
              <w:rPr>
                <w:sz w:val="16"/>
              </w:rPr>
              <w:t>Por confirmar</w:t>
            </w:r>
          </w:p>
        </w:tc>
      </w:tr>
    </w:tbl>
    <w:p>
      <w:pPr>
        <w:spacing w:after="20"/>
      </w:pPr>
    </w:p>
    <w:p>
      <w:r>
        <w:rPr>
          <w:b/>
        </w:rPr>
        <w:t xml:space="preserve">Protocolo previsto. </w:t>
      </w:r>
      <w:r>
        <w:t>Registrar fecha, participantes y roles; presentar escenarios, admitir nuevos casos, acordar criterios de priorización y documentar los votos o consensos que efectivamente se produzcan.</w:t>
      </w:r>
    </w:p>
    <w:p>
      <w:r>
        <w:rPr>
          <w:b/>
        </w:rPr>
        <w:t xml:space="preserve">Resultado del paso 7 en Fase 1: </w:t>
      </w:r>
      <w:r>
        <w:t>cartera de escenarios preparada para validación con los interesados; la priorización participativa se realizará cuando se convoque la sesión.</w:t>
      </w:r>
    </w:p>
    <w:p>
      <w:pPr>
        <w:pStyle w:val="Heading1"/>
      </w:pPr>
      <w:r>
        <w:t>Paso 8. Volver a analizar la arquitectura ante nuevos escenarios</w:t>
      </w:r>
    </w:p>
    <w:p>
      <w:r>
        <w:t>Se efectúa un análisis preliminar de diseño frente a los escenarios adicionales propuestos, sujeto a su selección formal por los interesados. Las acciones consignadas son condiciones arquitectónicas y pruebas previstas, no resultados de ejecución.</w:t>
      </w:r>
    </w:p>
    <w:tbl>
      <w:tblPr>
        <w:tblStyle w:val="TableGrid"/>
        <w:tblW w:type="auto" w:w="0"/>
        <w:jc w:val="center"/>
        <w:tblLayout w:type="fixed"/>
        <w:tblLook w:firstColumn="1" w:firstRow="1" w:lastColumn="0" w:lastRow="0" w:noHBand="0" w:noVBand="1" w:val="04A0"/>
      </w:tblPr>
      <w:tblGrid>
        <w:gridCol w:w="1928"/>
        <w:gridCol w:w="3685"/>
        <w:gridCol w:w="3572"/>
      </w:tblGrid>
      <w:tr>
        <w:trPr>
          <w:tblHeader w:val="true"/>
        </w:trPr>
        <w:tc>
          <w:tcPr>
            <w:tcW w:type="dxa" w:w="3118"/>
            <w:vAlign w:val="center"/>
            <w:shd w:fill="18485A"/>
          </w:tcPr>
          <w:p>
            <w:pPr>
              <w:spacing w:after="0"/>
            </w:pPr>
            <w:r>
              <w:rPr>
                <w:b/>
                <w:color w:val="FFFFFF"/>
                <w:sz w:val="15"/>
              </w:rPr>
              <w:t>Escenario</w:t>
            </w:r>
          </w:p>
        </w:tc>
        <w:tc>
          <w:tcPr>
            <w:tcW w:type="dxa" w:w="3118"/>
            <w:vAlign w:val="center"/>
            <w:shd w:fill="18485A"/>
          </w:tcPr>
          <w:p>
            <w:pPr>
              <w:spacing w:after="0"/>
            </w:pPr>
            <w:r>
              <w:rPr>
                <w:b/>
                <w:color w:val="FFFFFF"/>
                <w:sz w:val="15"/>
              </w:rPr>
              <w:t>Recorrido o decisión que debe inspeccionarse</w:t>
            </w:r>
          </w:p>
        </w:tc>
        <w:tc>
          <w:tcPr>
            <w:tcW w:type="dxa" w:w="3118"/>
            <w:vAlign w:val="center"/>
            <w:shd w:fill="18485A"/>
          </w:tcPr>
          <w:p>
            <w:pPr>
              <w:spacing w:after="0"/>
            </w:pPr>
            <w:r>
              <w:rPr>
                <w:b/>
                <w:color w:val="FFFFFF"/>
                <w:sz w:val="15"/>
              </w:rPr>
              <w:t>Hallazgo provisional / prueba necesaria</w:t>
            </w:r>
          </w:p>
        </w:tc>
      </w:tr>
      <w:tr>
        <w:trPr>
          <w:cantSplit/>
        </w:trPr>
        <w:tc>
          <w:tcPr>
            <w:tcW w:type="dxa" w:w="1928"/>
            <w:vAlign w:val="top"/>
          </w:tcPr>
          <w:p>
            <w:pPr>
              <w:spacing w:after="40" w:before="20" w:line="252" w:lineRule="auto"/>
            </w:pPr>
            <w:r>
              <w:rPr>
                <w:sz w:val="15"/>
              </w:rPr>
              <w:t>EA-01, conflicto entre operaciones</w:t>
            </w:r>
          </w:p>
        </w:tc>
        <w:tc>
          <w:tcPr>
            <w:tcW w:type="dxa" w:w="3685"/>
            <w:vAlign w:val="top"/>
          </w:tcPr>
          <w:p>
            <w:pPr>
              <w:spacing w:after="40" w:before="20" w:line="252" w:lineRule="auto"/>
            </w:pPr>
            <w:r>
              <w:rPr>
                <w:sz w:val="15"/>
              </w:rPr>
              <w:t>Verificar si todas las rutas de despacho y retorno comparten un invariante de estado y una escritura atómica.</w:t>
            </w:r>
          </w:p>
        </w:tc>
        <w:tc>
          <w:tcPr>
            <w:tcW w:type="dxa" w:w="3572"/>
            <w:vAlign w:val="top"/>
          </w:tcPr>
          <w:p>
            <w:pPr>
              <w:spacing w:after="40" w:before="20" w:line="252" w:lineRule="auto"/>
            </w:pPr>
            <w:r>
              <w:rPr>
                <w:sz w:val="15"/>
              </w:rPr>
              <w:t>Riesgo adicional: proteger solo el endpoint de despacho no impediría conflicto con retorno; prueba multirruta concurrente.</w:t>
            </w:r>
          </w:p>
        </w:tc>
      </w:tr>
      <w:tr>
        <w:trPr>
          <w:cantSplit/>
        </w:trPr>
        <w:tc>
          <w:tcPr>
            <w:tcW w:type="dxa" w:w="1928"/>
            <w:vAlign w:val="top"/>
            <w:shd w:fill="F3F7F8"/>
          </w:tcPr>
          <w:p>
            <w:pPr>
              <w:spacing w:after="40" w:before="20" w:line="252" w:lineRule="auto"/>
            </w:pPr>
            <w:r>
              <w:rPr>
                <w:sz w:val="15"/>
              </w:rPr>
              <w:t>EA-02, rectificación auditable</w:t>
            </w:r>
          </w:p>
        </w:tc>
        <w:tc>
          <w:tcPr>
            <w:tcW w:type="dxa" w:w="3685"/>
            <w:vAlign w:val="top"/>
            <w:shd w:fill="F3F7F8"/>
          </w:tcPr>
          <w:p>
            <w:pPr>
              <w:spacing w:after="40" w:before="20" w:line="252" w:lineRule="auto"/>
            </w:pPr>
            <w:r>
              <w:rPr>
                <w:sz w:val="15"/>
              </w:rPr>
              <w:t>Revisar modelo de eventos, política de borrado/edición, identidad del actor y causal de corrección.</w:t>
            </w:r>
          </w:p>
        </w:tc>
        <w:tc>
          <w:tcPr>
            <w:tcW w:type="dxa" w:w="3572"/>
            <w:vAlign w:val="top"/>
            <w:shd w:fill="F3F7F8"/>
          </w:tcPr>
          <w:p>
            <w:pPr>
              <w:spacing w:after="40" w:before="20" w:line="252" w:lineRule="auto"/>
            </w:pPr>
            <w:r>
              <w:rPr>
                <w:sz w:val="15"/>
              </w:rPr>
              <w:t>Riesgo adicional: historial consultable no equivale a historial inalterable/auditable; diseñar correcciones compensatorias.</w:t>
            </w:r>
          </w:p>
        </w:tc>
      </w:tr>
      <w:tr>
        <w:trPr>
          <w:cantSplit/>
        </w:trPr>
        <w:tc>
          <w:tcPr>
            <w:tcW w:type="dxa" w:w="1928"/>
            <w:vAlign w:val="top"/>
          </w:tcPr>
          <w:p>
            <w:pPr>
              <w:spacing w:after="40" w:before="20" w:line="252" w:lineRule="auto"/>
            </w:pPr>
            <w:r>
              <w:rPr>
                <w:sz w:val="15"/>
              </w:rPr>
              <w:t>EA-03, QR extraviado</w:t>
            </w:r>
          </w:p>
        </w:tc>
        <w:tc>
          <w:tcPr>
            <w:tcW w:type="dxa" w:w="3685"/>
            <w:vAlign w:val="top"/>
          </w:tcPr>
          <w:p>
            <w:pPr>
              <w:spacing w:after="40" w:before="20" w:line="252" w:lineRule="auto"/>
            </w:pPr>
            <w:r>
              <w:rPr>
                <w:sz w:val="15"/>
              </w:rPr>
              <w:t>Revisar endpoints con ID predecible, autorización por objeto, mínima información y logs de acceso.</w:t>
            </w:r>
          </w:p>
        </w:tc>
        <w:tc>
          <w:tcPr>
            <w:tcW w:type="dxa" w:w="3572"/>
            <w:vAlign w:val="top"/>
          </w:tcPr>
          <w:p>
            <w:pPr>
              <w:spacing w:after="40" w:before="20" w:line="252" w:lineRule="auto"/>
            </w:pPr>
            <w:r>
              <w:rPr>
                <w:sz w:val="15"/>
              </w:rPr>
              <w:t>Riesgo de diseño: si se omite autorización por objeto, conocer un QR podría exponer datos; definir matriz de permisos y pruebas negativas futuras.</w:t>
            </w:r>
          </w:p>
        </w:tc>
      </w:tr>
      <w:tr>
        <w:trPr>
          <w:cantSplit/>
        </w:trPr>
        <w:tc>
          <w:tcPr>
            <w:tcW w:type="dxa" w:w="1928"/>
            <w:vAlign w:val="top"/>
            <w:shd w:fill="F3F7F8"/>
          </w:tcPr>
          <w:p>
            <w:pPr>
              <w:spacing w:after="40" w:before="20" w:line="252" w:lineRule="auto"/>
            </w:pPr>
            <w:r>
              <w:rPr>
                <w:sz w:val="15"/>
              </w:rPr>
              <w:t>EA-04, cambio de red</w:t>
            </w:r>
          </w:p>
        </w:tc>
        <w:tc>
          <w:tcPr>
            <w:tcW w:type="dxa" w:w="3685"/>
            <w:vAlign w:val="top"/>
            <w:shd w:fill="F3F7F8"/>
          </w:tcPr>
          <w:p>
            <w:pPr>
              <w:spacing w:after="40" w:before="20" w:line="252" w:lineRule="auto"/>
            </w:pPr>
            <w:r>
              <w:rPr>
                <w:sz w:val="15"/>
              </w:rPr>
              <w:t>Comprobar endpoint público, HTTPS, configuración de URL y manejo de pérdidas temporales de conectividad.</w:t>
            </w:r>
          </w:p>
        </w:tc>
        <w:tc>
          <w:tcPr>
            <w:tcW w:type="dxa" w:w="3572"/>
            <w:vAlign w:val="top"/>
            <w:shd w:fill="F3F7F8"/>
          </w:tcPr>
          <w:p>
            <w:pPr>
              <w:spacing w:after="40" w:before="20" w:line="252" w:lineRule="auto"/>
            </w:pPr>
            <w:r>
              <w:rPr>
                <w:sz w:val="15"/>
              </w:rPr>
              <w:t>Riesgo de diseño: una URL ligada a una IP local limitaría movilidad; proponer dirección pública estable y futura prueba de cambio de red.</w:t>
            </w:r>
          </w:p>
        </w:tc>
      </w:tr>
      <w:tr>
        <w:trPr>
          <w:cantSplit/>
        </w:trPr>
        <w:tc>
          <w:tcPr>
            <w:tcW w:type="dxa" w:w="1928"/>
            <w:vAlign w:val="top"/>
          </w:tcPr>
          <w:p>
            <w:pPr>
              <w:spacing w:after="40" w:before="20" w:line="252" w:lineRule="auto"/>
            </w:pPr>
            <w:r>
              <w:rPr>
                <w:sz w:val="15"/>
              </w:rPr>
              <w:t>EA-05, restauración</w:t>
            </w:r>
          </w:p>
        </w:tc>
        <w:tc>
          <w:tcPr>
            <w:tcW w:type="dxa" w:w="3685"/>
            <w:vAlign w:val="top"/>
          </w:tcPr>
          <w:p>
            <w:pPr>
              <w:spacing w:after="40" w:before="20" w:line="252" w:lineRule="auto"/>
            </w:pPr>
            <w:r>
              <w:rPr>
                <w:sz w:val="15"/>
              </w:rPr>
              <w:t>Revisar estrategia de backup, cronología de movimientos, RTO/RPO e integridad referencial después de restaurar.</w:t>
            </w:r>
          </w:p>
        </w:tc>
        <w:tc>
          <w:tcPr>
            <w:tcW w:type="dxa" w:w="3572"/>
            <w:vAlign w:val="top"/>
          </w:tcPr>
          <w:p>
            <w:pPr>
              <w:spacing w:after="40" w:before="20" w:line="252" w:lineRule="auto"/>
            </w:pPr>
            <w:r>
              <w:rPr>
                <w:sz w:val="15"/>
              </w:rPr>
              <w:t>Riesgo de diseño: respaldo insuficiente impediría recuperación confiable; acordar RTO/RPO y plan de restauración para fases siguientes.</w:t>
            </w:r>
          </w:p>
        </w:tc>
      </w:tr>
      <w:tr>
        <w:trPr>
          <w:cantSplit/>
        </w:trPr>
        <w:tc>
          <w:tcPr>
            <w:tcW w:type="dxa" w:w="1928"/>
            <w:vAlign w:val="top"/>
            <w:shd w:fill="F3F7F8"/>
          </w:tcPr>
          <w:p>
            <w:pPr>
              <w:spacing w:after="40" w:before="20" w:line="252" w:lineRule="auto"/>
            </w:pPr>
            <w:r>
              <w:rPr>
                <w:sz w:val="15"/>
              </w:rPr>
              <w:t>EA-06, sincronización offline</w:t>
            </w:r>
          </w:p>
        </w:tc>
        <w:tc>
          <w:tcPr>
            <w:tcW w:type="dxa" w:w="3685"/>
            <w:vAlign w:val="top"/>
            <w:shd w:fill="F3F7F8"/>
          </w:tcPr>
          <w:p>
            <w:pPr>
              <w:spacing w:after="40" w:before="20" w:line="252" w:lineRule="auto"/>
            </w:pPr>
            <w:r>
              <w:rPr>
                <w:sz w:val="15"/>
              </w:rPr>
              <w:t>Definir identidad de operación, idempotencia, detección y resolución de conflictos y semántica de confirmación.</w:t>
            </w:r>
          </w:p>
        </w:tc>
        <w:tc>
          <w:tcPr>
            <w:tcW w:type="dxa" w:w="3572"/>
            <w:vAlign w:val="top"/>
            <w:shd w:fill="F3F7F8"/>
          </w:tcPr>
          <w:p>
            <w:pPr>
              <w:spacing w:after="40" w:before="20" w:line="252" w:lineRule="auto"/>
            </w:pPr>
            <w:r>
              <w:rPr>
                <w:sz w:val="15"/>
              </w:rPr>
              <w:t>Requiere diseño específico: definir reglas de sincronización, idempotencia y conflictos y planificar pruebas posteriores de casos incompatibles.</w:t>
            </w:r>
          </w:p>
        </w:tc>
      </w:tr>
    </w:tbl>
    <w:p>
      <w:pPr>
        <w:spacing w:after="20"/>
      </w:pPr>
    </w:p>
    <w:p>
      <w:pPr>
        <w:pStyle w:val="Heading2"/>
      </w:pPr>
      <w:r>
        <w:t>Temas de riesgo transversales</w:t>
      </w:r>
    </w:p>
    <w:tbl>
      <w:tblPr>
        <w:tblStyle w:val="TableGrid"/>
        <w:tblW w:type="auto" w:w="0"/>
        <w:jc w:val="center"/>
        <w:tblLayout w:type="fixed"/>
        <w:tblLook w:firstColumn="1" w:firstRow="1" w:lastColumn="0" w:lastRow="0" w:noHBand="0" w:noVBand="1" w:val="04A0"/>
      </w:tblPr>
      <w:tblGrid>
        <w:gridCol w:w="3118"/>
        <w:gridCol w:w="2438"/>
        <w:gridCol w:w="3628"/>
      </w:tblGrid>
      <w:tr>
        <w:trPr>
          <w:tblHeader w:val="true"/>
        </w:trPr>
        <w:tc>
          <w:tcPr>
            <w:tcW w:type="dxa" w:w="3118"/>
            <w:vAlign w:val="center"/>
            <w:shd w:fill="18485A"/>
          </w:tcPr>
          <w:p>
            <w:pPr>
              <w:spacing w:after="0"/>
            </w:pPr>
            <w:r>
              <w:rPr>
                <w:b/>
                <w:color w:val="FFFFFF"/>
                <w:sz w:val="16"/>
              </w:rPr>
              <w:t>Tema</w:t>
            </w:r>
          </w:p>
        </w:tc>
        <w:tc>
          <w:tcPr>
            <w:tcW w:type="dxa" w:w="3118"/>
            <w:vAlign w:val="center"/>
            <w:shd w:fill="18485A"/>
          </w:tcPr>
          <w:p>
            <w:pPr>
              <w:spacing w:after="0"/>
            </w:pPr>
            <w:r>
              <w:rPr>
                <w:b/>
                <w:color w:val="FFFFFF"/>
                <w:sz w:val="16"/>
              </w:rPr>
              <w:t>Riesgos relacionados</w:t>
            </w:r>
          </w:p>
        </w:tc>
        <w:tc>
          <w:tcPr>
            <w:tcW w:type="dxa" w:w="3118"/>
            <w:vAlign w:val="center"/>
            <w:shd w:fill="18485A"/>
          </w:tcPr>
          <w:p>
            <w:pPr>
              <w:spacing w:after="0"/>
            </w:pPr>
            <w:r>
              <w:rPr>
                <w:b/>
                <w:color w:val="FFFFFF"/>
                <w:sz w:val="16"/>
              </w:rPr>
              <w:t>Impacto sobre objetivos</w:t>
            </w:r>
          </w:p>
        </w:tc>
      </w:tr>
      <w:tr>
        <w:trPr>
          <w:cantSplit/>
        </w:trPr>
        <w:tc>
          <w:tcPr>
            <w:tcW w:type="dxa" w:w="3118"/>
            <w:vAlign w:val="top"/>
          </w:tcPr>
          <w:p>
            <w:pPr>
              <w:spacing w:after="40" w:before="20" w:line="252" w:lineRule="auto"/>
            </w:pPr>
            <w:r>
              <w:rPr>
                <w:sz w:val="16"/>
              </w:rPr>
              <w:t>TR-01: integridad bajo concurrencia</w:t>
            </w:r>
          </w:p>
        </w:tc>
        <w:tc>
          <w:tcPr>
            <w:tcW w:type="dxa" w:w="2438"/>
            <w:vAlign w:val="top"/>
          </w:tcPr>
          <w:p>
            <w:pPr>
              <w:spacing w:after="40" w:before="20" w:line="252" w:lineRule="auto"/>
            </w:pPr>
            <w:r>
              <w:rPr>
                <w:sz w:val="16"/>
              </w:rPr>
              <w:t>R-01, R-02 y EA-01</w:t>
            </w:r>
          </w:p>
        </w:tc>
        <w:tc>
          <w:tcPr>
            <w:tcW w:type="dxa" w:w="3628"/>
            <w:vAlign w:val="top"/>
          </w:tcPr>
          <w:p>
            <w:pPr>
              <w:spacing w:after="40" w:before="20" w:line="252" w:lineRule="auto"/>
            </w:pPr>
            <w:r>
              <w:rPr>
                <w:sz w:val="16"/>
              </w:rPr>
              <w:t>Puede comprometer unicidad lógica y coherencia de estados/movimientos.</w:t>
            </w:r>
          </w:p>
        </w:tc>
      </w:tr>
      <w:tr>
        <w:trPr>
          <w:cantSplit/>
        </w:trPr>
        <w:tc>
          <w:tcPr>
            <w:tcW w:type="dxa" w:w="3118"/>
            <w:vAlign w:val="top"/>
            <w:shd w:fill="F3F7F8"/>
          </w:tcPr>
          <w:p>
            <w:pPr>
              <w:spacing w:after="40" w:before="20" w:line="252" w:lineRule="auto"/>
            </w:pPr>
            <w:r>
              <w:rPr>
                <w:sz w:val="16"/>
              </w:rPr>
              <w:t>TR-02: autorización y atribución incompletas</w:t>
            </w:r>
          </w:p>
        </w:tc>
        <w:tc>
          <w:tcPr>
            <w:tcW w:type="dxa" w:w="2438"/>
            <w:vAlign w:val="top"/>
            <w:shd w:fill="F3F7F8"/>
          </w:tcPr>
          <w:p>
            <w:pPr>
              <w:spacing w:after="40" w:before="20" w:line="252" w:lineRule="auto"/>
            </w:pPr>
            <w:r>
              <w:rPr>
                <w:sz w:val="16"/>
              </w:rPr>
              <w:t>R-03, EA-02 y EA-03</w:t>
            </w:r>
          </w:p>
        </w:tc>
        <w:tc>
          <w:tcPr>
            <w:tcW w:type="dxa" w:w="3628"/>
            <w:vAlign w:val="top"/>
            <w:shd w:fill="F3F7F8"/>
          </w:tcPr>
          <w:p>
            <w:pPr>
              <w:spacing w:after="40" w:before="20" w:line="252" w:lineRule="auto"/>
            </w:pPr>
            <w:r>
              <w:rPr>
                <w:sz w:val="16"/>
              </w:rPr>
              <w:t>Puede permitir accesos indebidos y limitar auditoría del historial.</w:t>
            </w:r>
          </w:p>
        </w:tc>
      </w:tr>
      <w:tr>
        <w:trPr>
          <w:cantSplit/>
        </w:trPr>
        <w:tc>
          <w:tcPr>
            <w:tcW w:type="dxa" w:w="3118"/>
            <w:vAlign w:val="top"/>
          </w:tcPr>
          <w:p>
            <w:pPr>
              <w:spacing w:after="40" w:before="20" w:line="252" w:lineRule="auto"/>
            </w:pPr>
            <w:r>
              <w:rPr>
                <w:sz w:val="16"/>
              </w:rPr>
              <w:t>TR-03: continuidad operativa no demostrada</w:t>
            </w:r>
          </w:p>
        </w:tc>
        <w:tc>
          <w:tcPr>
            <w:tcW w:type="dxa" w:w="2438"/>
            <w:vAlign w:val="top"/>
          </w:tcPr>
          <w:p>
            <w:pPr>
              <w:spacing w:after="40" w:before="20" w:line="252" w:lineRule="auto"/>
            </w:pPr>
            <w:r>
              <w:rPr>
                <w:sz w:val="16"/>
              </w:rPr>
              <w:t>Dependencia de conectividad y respaldo por diseñar, EC-06, EA-04 y EA-05</w:t>
            </w:r>
          </w:p>
        </w:tc>
        <w:tc>
          <w:tcPr>
            <w:tcW w:type="dxa" w:w="3628"/>
            <w:vAlign w:val="top"/>
          </w:tcPr>
          <w:p>
            <w:pPr>
              <w:spacing w:after="40" w:before="20" w:line="252" w:lineRule="auto"/>
            </w:pPr>
            <w:r>
              <w:rPr>
                <w:sz w:val="16"/>
              </w:rPr>
              <w:t>Puede impedir consulta y movimiento o comprometer restauración.</w:t>
            </w:r>
          </w:p>
        </w:tc>
      </w:tr>
      <w:tr>
        <w:trPr>
          <w:cantSplit/>
        </w:trPr>
        <w:tc>
          <w:tcPr>
            <w:tcW w:type="dxa" w:w="3118"/>
            <w:vAlign w:val="top"/>
            <w:shd w:fill="F3F7F8"/>
          </w:tcPr>
          <w:p>
            <w:pPr>
              <w:spacing w:after="40" w:before="20" w:line="252" w:lineRule="auto"/>
            </w:pPr>
            <w:r>
              <w:rPr>
                <w:sz w:val="16"/>
              </w:rPr>
              <w:t>TR-04: complejidad de operaciones futuras</w:t>
            </w:r>
          </w:p>
        </w:tc>
        <w:tc>
          <w:tcPr>
            <w:tcW w:type="dxa" w:w="2438"/>
            <w:vAlign w:val="top"/>
            <w:shd w:fill="F3F7F8"/>
          </w:tcPr>
          <w:p>
            <w:pPr>
              <w:spacing w:after="40" w:before="20" w:line="252" w:lineRule="auto"/>
            </w:pPr>
            <w:r>
              <w:rPr>
                <w:sz w:val="16"/>
              </w:rPr>
              <w:t>EC-08 y EC-09</w:t>
            </w:r>
          </w:p>
        </w:tc>
        <w:tc>
          <w:tcPr>
            <w:tcW w:type="dxa" w:w="3628"/>
            <w:vAlign w:val="top"/>
            <w:shd w:fill="F3F7F8"/>
          </w:tcPr>
          <w:p>
            <w:pPr>
              <w:spacing w:after="40" w:before="20" w:line="252" w:lineRule="auto"/>
            </w:pPr>
            <w:r>
              <w:rPr>
                <w:sz w:val="16"/>
              </w:rPr>
              <w:t>Puede introducir conflictos offline y riesgos nuevos en integraciones.</w:t>
            </w:r>
          </w:p>
        </w:tc>
      </w:tr>
    </w:tbl>
    <w:p>
      <w:pPr>
        <w:spacing w:after="20"/>
      </w:pPr>
    </w:p>
    <w:p>
      <w:pPr>
        <w:pStyle w:val="Heading1"/>
      </w:pPr>
      <w:r>
        <w:t>Paso 9. Presentar resultados y decisiones</w:t>
      </w:r>
    </w:p>
    <w:p>
      <w:r>
        <w:t>Este paso consolida los hallazgos prospectivos de Fase 1 para su presentación y validación por el equipo. No se atribuyen reuniones ni aprobaciones realizadas; el cierre formal de ATAM requerirá registrar decisiones y acuerdos de los interesados.</w:t>
      </w:r>
    </w:p>
    <w:p>
      <w:pPr>
        <w:pStyle w:val="Heading2"/>
      </w:pPr>
      <w:r>
        <w:t>Síntesis de hallazgos</w:t>
      </w:r>
    </w:p>
    <w:tbl>
      <w:tblPr>
        <w:tblStyle w:val="TableGrid"/>
        <w:tblW w:type="auto" w:w="0"/>
        <w:jc w:val="center"/>
        <w:tblLayout w:type="fixed"/>
        <w:tblLook w:firstColumn="1" w:firstRow="1" w:lastColumn="0" w:lastRow="0" w:noHBand="0" w:noVBand="1" w:val="04A0"/>
      </w:tblPr>
      <w:tblGrid>
        <w:gridCol w:w="2409"/>
        <w:gridCol w:w="5386"/>
        <w:gridCol w:w="1389"/>
      </w:tblGrid>
      <w:tr>
        <w:trPr>
          <w:tblHeader w:val="true"/>
        </w:trPr>
        <w:tc>
          <w:tcPr>
            <w:tcW w:type="dxa" w:w="3118"/>
            <w:vAlign w:val="center"/>
            <w:shd w:fill="18485A"/>
          </w:tcPr>
          <w:p>
            <w:pPr>
              <w:spacing w:after="0"/>
            </w:pPr>
            <w:r>
              <w:rPr>
                <w:b/>
                <w:color w:val="FFFFFF"/>
                <w:sz w:val="16"/>
              </w:rPr>
              <w:t>Aspecto</w:t>
            </w:r>
          </w:p>
        </w:tc>
        <w:tc>
          <w:tcPr>
            <w:tcW w:type="dxa" w:w="3118"/>
            <w:vAlign w:val="center"/>
            <w:shd w:fill="18485A"/>
          </w:tcPr>
          <w:p>
            <w:pPr>
              <w:spacing w:after="0"/>
            </w:pPr>
            <w:r>
              <w:rPr>
                <w:b/>
                <w:color w:val="FFFFFF"/>
                <w:sz w:val="16"/>
              </w:rPr>
              <w:t>Conclusión fundamentada</w:t>
            </w:r>
          </w:p>
        </w:tc>
        <w:tc>
          <w:tcPr>
            <w:tcW w:type="dxa" w:w="3118"/>
            <w:vAlign w:val="center"/>
            <w:shd w:fill="18485A"/>
          </w:tcPr>
          <w:p>
            <w:pPr>
              <w:spacing w:after="0"/>
            </w:pPr>
            <w:r>
              <w:rPr>
                <w:b/>
                <w:color w:val="FFFFFF"/>
                <w:sz w:val="16"/>
              </w:rPr>
              <w:t>Estado</w:t>
            </w:r>
          </w:p>
        </w:tc>
      </w:tr>
      <w:tr>
        <w:trPr>
          <w:cantSplit/>
        </w:trPr>
        <w:tc>
          <w:tcPr>
            <w:tcW w:type="dxa" w:w="2409"/>
            <w:vAlign w:val="top"/>
          </w:tcPr>
          <w:p>
            <w:pPr>
              <w:spacing w:after="40" w:before="20" w:line="252" w:lineRule="auto"/>
            </w:pPr>
            <w:r>
              <w:rPr>
                <w:sz w:val="16"/>
              </w:rPr>
              <w:t>Registro y código único</w:t>
            </w:r>
          </w:p>
        </w:tc>
        <w:tc>
          <w:tcPr>
            <w:tcW w:type="dxa" w:w="5386"/>
            <w:vAlign w:val="top"/>
          </w:tcPr>
          <w:p>
            <w:pPr>
              <w:spacing w:after="40" w:before="20" w:line="252" w:lineRule="auto"/>
            </w:pPr>
            <w:r>
              <w:rPr>
                <w:sz w:val="16"/>
              </w:rPr>
              <w:t>Se propone generación automática y restricción de unicidad. Verificar formato, DDL y tratamiento de colisiones cuando se implemente.</w:t>
            </w:r>
          </w:p>
        </w:tc>
        <w:tc>
          <w:tcPr>
            <w:tcW w:type="dxa" w:w="1389"/>
            <w:vAlign w:val="top"/>
          </w:tcPr>
          <w:p>
            <w:pPr>
              <w:spacing w:after="40" w:before="20" w:line="252" w:lineRule="auto"/>
            </w:pPr>
            <w:r>
              <w:rPr>
                <w:sz w:val="16"/>
              </w:rPr>
              <w:t>Diseño propuesto; verificación futura</w:t>
            </w:r>
          </w:p>
        </w:tc>
      </w:tr>
      <w:tr>
        <w:trPr>
          <w:cantSplit/>
        </w:trPr>
        <w:tc>
          <w:tcPr>
            <w:tcW w:type="dxa" w:w="2409"/>
            <w:vAlign w:val="top"/>
            <w:shd w:fill="F3F7F8"/>
          </w:tcPr>
          <w:p>
            <w:pPr>
              <w:spacing w:after="40" w:before="20" w:line="252" w:lineRule="auto"/>
            </w:pPr>
            <w:r>
              <w:rPr>
                <w:sz w:val="16"/>
              </w:rPr>
              <w:t>Despacho y retorno</w:t>
            </w:r>
          </w:p>
        </w:tc>
        <w:tc>
          <w:tcPr>
            <w:tcW w:type="dxa" w:w="5386"/>
            <w:vAlign w:val="top"/>
            <w:shd w:fill="F3F7F8"/>
          </w:tcPr>
          <w:p>
            <w:pPr>
              <w:spacing w:after="40" w:before="20" w:line="252" w:lineRule="auto"/>
            </w:pPr>
            <w:r>
              <w:rPr>
                <w:sz w:val="16"/>
              </w:rPr>
              <w:t>Se propone comprobar el estado y registrar cada movimiento atómicamente; diseñar prueba de concurrencia y retorno.</w:t>
            </w:r>
          </w:p>
        </w:tc>
        <w:tc>
          <w:tcPr>
            <w:tcW w:type="dxa" w:w="1389"/>
            <w:vAlign w:val="top"/>
            <w:shd w:fill="F3F7F8"/>
          </w:tcPr>
          <w:p>
            <w:pPr>
              <w:spacing w:after="40" w:before="20" w:line="252" w:lineRule="auto"/>
            </w:pPr>
            <w:r>
              <w:rPr>
                <w:sz w:val="16"/>
              </w:rPr>
              <w:t>Riesgo identificado; verificación futura</w:t>
            </w:r>
          </w:p>
        </w:tc>
      </w:tr>
      <w:tr>
        <w:trPr>
          <w:cantSplit/>
        </w:trPr>
        <w:tc>
          <w:tcPr>
            <w:tcW w:type="dxa" w:w="2409"/>
            <w:vAlign w:val="top"/>
          </w:tcPr>
          <w:p>
            <w:pPr>
              <w:spacing w:after="40" w:before="20" w:line="252" w:lineRule="auto"/>
            </w:pPr>
            <w:r>
              <w:rPr>
                <w:sz w:val="16"/>
              </w:rPr>
              <w:t>Consulta de historial por QR</w:t>
            </w:r>
          </w:p>
        </w:tc>
        <w:tc>
          <w:tcPr>
            <w:tcW w:type="dxa" w:w="5386"/>
            <w:vAlign w:val="top"/>
          </w:tcPr>
          <w:p>
            <w:pPr>
              <w:spacing w:after="40" w:before="20" w:line="252" w:lineRule="auto"/>
            </w:pPr>
            <w:r>
              <w:rPr>
                <w:sz w:val="16"/>
              </w:rPr>
              <w:t>Se propone consultar movimientos por referencia QR, con control de acceso y auditoría; acordar datos exigibles.</w:t>
            </w:r>
          </w:p>
        </w:tc>
        <w:tc>
          <w:tcPr>
            <w:tcW w:type="dxa" w:w="1389"/>
            <w:vAlign w:val="top"/>
          </w:tcPr>
          <w:p>
            <w:pPr>
              <w:spacing w:after="40" w:before="20" w:line="252" w:lineRule="auto"/>
            </w:pPr>
            <w:r>
              <w:rPr>
                <w:sz w:val="16"/>
              </w:rPr>
              <w:t>Diseño propuesto; verificación futura</w:t>
            </w:r>
          </w:p>
        </w:tc>
      </w:tr>
      <w:tr>
        <w:trPr>
          <w:cantSplit/>
        </w:trPr>
        <w:tc>
          <w:tcPr>
            <w:tcW w:type="dxa" w:w="2409"/>
            <w:vAlign w:val="top"/>
            <w:shd w:fill="F3F7F8"/>
          </w:tcPr>
          <w:p>
            <w:pPr>
              <w:spacing w:after="40" w:before="20" w:line="252" w:lineRule="auto"/>
            </w:pPr>
            <w:r>
              <w:rPr>
                <w:sz w:val="16"/>
              </w:rPr>
              <w:t>Seguridad de acceso</w:t>
            </w:r>
          </w:p>
        </w:tc>
        <w:tc>
          <w:tcPr>
            <w:tcW w:type="dxa" w:w="5386"/>
            <w:vAlign w:val="top"/>
            <w:shd w:fill="F3F7F8"/>
          </w:tcPr>
          <w:p>
            <w:pPr>
              <w:spacing w:after="40" w:before="20" w:line="252" w:lineRule="auto"/>
            </w:pPr>
            <w:r>
              <w:rPr>
                <w:sz w:val="16"/>
              </w:rPr>
              <w:t>Se plantea autenticación y permisos en servidor; definir matriz de roles y pruebas negativas.</w:t>
            </w:r>
          </w:p>
        </w:tc>
        <w:tc>
          <w:tcPr>
            <w:tcW w:type="dxa" w:w="1389"/>
            <w:vAlign w:val="top"/>
            <w:shd w:fill="F3F7F8"/>
          </w:tcPr>
          <w:p>
            <w:pPr>
              <w:spacing w:after="40" w:before="20" w:line="252" w:lineRule="auto"/>
            </w:pPr>
            <w:r>
              <w:rPr>
                <w:sz w:val="16"/>
              </w:rPr>
              <w:t>Decisión pendiente de detalle</w:t>
            </w:r>
          </w:p>
        </w:tc>
      </w:tr>
      <w:tr>
        <w:trPr>
          <w:cantSplit/>
        </w:trPr>
        <w:tc>
          <w:tcPr>
            <w:tcW w:type="dxa" w:w="2409"/>
            <w:vAlign w:val="top"/>
          </w:tcPr>
          <w:p>
            <w:pPr>
              <w:spacing w:after="40" w:before="20" w:line="252" w:lineRule="auto"/>
            </w:pPr>
            <w:r>
              <w:rPr>
                <w:sz w:val="16"/>
              </w:rPr>
              <w:t>Accesibilidad móvil</w:t>
            </w:r>
          </w:p>
        </w:tc>
        <w:tc>
          <w:tcPr>
            <w:tcW w:type="dxa" w:w="5386"/>
            <w:vAlign w:val="top"/>
          </w:tcPr>
          <w:p>
            <w:pPr>
              <w:spacing w:after="40" w:before="20" w:line="252" w:lineRule="auto"/>
            </w:pPr>
            <w:r>
              <w:rPr>
                <w:sz w:val="16"/>
              </w:rPr>
              <w:t>Se plantea interfaz móvil adaptable, HTTPS y dirección estable; definir matriz de dispositivos y redes.</w:t>
            </w:r>
          </w:p>
        </w:tc>
        <w:tc>
          <w:tcPr>
            <w:tcW w:type="dxa" w:w="1389"/>
            <w:vAlign w:val="top"/>
          </w:tcPr>
          <w:p>
            <w:pPr>
              <w:spacing w:after="40" w:before="20" w:line="252" w:lineRule="auto"/>
            </w:pPr>
            <w:r>
              <w:rPr>
                <w:sz w:val="16"/>
              </w:rPr>
              <w:t>Escenario por validar</w:t>
            </w:r>
          </w:p>
        </w:tc>
      </w:tr>
      <w:tr>
        <w:trPr>
          <w:cantSplit/>
        </w:trPr>
        <w:tc>
          <w:tcPr>
            <w:tcW w:type="dxa" w:w="2409"/>
            <w:vAlign w:val="top"/>
            <w:shd w:fill="F3F7F8"/>
          </w:tcPr>
          <w:p>
            <w:pPr>
              <w:spacing w:after="40" w:before="20" w:line="252" w:lineRule="auto"/>
            </w:pPr>
            <w:r>
              <w:rPr>
                <w:sz w:val="16"/>
              </w:rPr>
              <w:t>Disponibilidad y recuperabilidad</w:t>
            </w:r>
          </w:p>
        </w:tc>
        <w:tc>
          <w:tcPr>
            <w:tcW w:type="dxa" w:w="5386"/>
            <w:vAlign w:val="top"/>
            <w:shd w:fill="F3F7F8"/>
          </w:tcPr>
          <w:p>
            <w:pPr>
              <w:spacing w:after="40" w:before="20" w:line="252" w:lineRule="auto"/>
            </w:pPr>
            <w:r>
              <w:rPr>
                <w:sz w:val="16"/>
              </w:rPr>
              <w:t>Se plantea respaldar y recuperar el sistema; acordar RTO/RPO, retención y ejercicios de restauración.</w:t>
            </w:r>
          </w:p>
        </w:tc>
        <w:tc>
          <w:tcPr>
            <w:tcW w:type="dxa" w:w="1389"/>
            <w:vAlign w:val="top"/>
            <w:shd w:fill="F3F7F8"/>
          </w:tcPr>
          <w:p>
            <w:pPr>
              <w:spacing w:after="40" w:before="20" w:line="252" w:lineRule="auto"/>
            </w:pPr>
            <w:r>
              <w:rPr>
                <w:sz w:val="16"/>
              </w:rPr>
              <w:t>Política por acordar</w:t>
            </w:r>
          </w:p>
        </w:tc>
      </w:tr>
      <w:tr>
        <w:trPr>
          <w:cantSplit/>
        </w:trPr>
        <w:tc>
          <w:tcPr>
            <w:tcW w:type="dxa" w:w="2409"/>
            <w:vAlign w:val="top"/>
          </w:tcPr>
          <w:p>
            <w:pPr>
              <w:spacing w:after="40" w:before="20" w:line="252" w:lineRule="auto"/>
            </w:pPr>
            <w:r>
              <w:rPr>
                <w:sz w:val="16"/>
              </w:rPr>
              <w:t>Pesaje y conciliación de masa</w:t>
            </w:r>
          </w:p>
        </w:tc>
        <w:tc>
          <w:tcPr>
            <w:tcW w:type="dxa" w:w="5386"/>
            <w:vAlign w:val="top"/>
          </w:tcPr>
          <w:p>
            <w:pPr>
              <w:spacing w:after="40" w:before="20" w:line="252" w:lineRule="auto"/>
            </w:pPr>
            <w:r>
              <w:rPr>
                <w:sz w:val="16"/>
              </w:rPr>
              <w:t>Definir reglas de tara, masa bruta/neta, capacidad y tolerancias antes de diseñar la conciliación.</w:t>
            </w:r>
          </w:p>
        </w:tc>
        <w:tc>
          <w:tcPr>
            <w:tcW w:type="dxa" w:w="1389"/>
            <w:vAlign w:val="top"/>
          </w:tcPr>
          <w:p>
            <w:pPr>
              <w:spacing w:after="40" w:before="20" w:line="252" w:lineRule="auto"/>
            </w:pPr>
            <w:r>
              <w:rPr>
                <w:sz w:val="16"/>
              </w:rPr>
              <w:t>Reglas por acordar</w:t>
            </w:r>
          </w:p>
        </w:tc>
      </w:tr>
      <w:tr>
        <w:trPr>
          <w:cantSplit/>
        </w:trPr>
        <w:tc>
          <w:tcPr>
            <w:tcW w:type="dxa" w:w="2409"/>
            <w:vAlign w:val="top"/>
            <w:shd w:fill="F3F7F8"/>
          </w:tcPr>
          <w:p>
            <w:pPr>
              <w:spacing w:after="40" w:before="20" w:line="252" w:lineRule="auto"/>
            </w:pPr>
            <w:r>
              <w:rPr>
                <w:sz w:val="16"/>
              </w:rPr>
              <w:t>Offline, Azure y Power BI</w:t>
            </w:r>
          </w:p>
        </w:tc>
        <w:tc>
          <w:tcPr>
            <w:tcW w:type="dxa" w:w="5386"/>
            <w:vAlign w:val="top"/>
            <w:shd w:fill="F3F7F8"/>
          </w:tcPr>
          <w:p>
            <w:pPr>
              <w:spacing w:after="40" w:before="20" w:line="252" w:lineRule="auto"/>
            </w:pPr>
            <w:r>
              <w:rPr>
                <w:sz w:val="16"/>
              </w:rPr>
              <w:t>Offline, Azure y Power BI figuran en el alcance propuesto; delimitar contratos y evaluar sus propios escenarios.</w:t>
            </w:r>
          </w:p>
        </w:tc>
        <w:tc>
          <w:tcPr>
            <w:tcW w:type="dxa" w:w="1389"/>
            <w:vAlign w:val="top"/>
            <w:shd w:fill="F3F7F8"/>
          </w:tcPr>
          <w:p>
            <w:pPr>
              <w:spacing w:after="40" w:before="20" w:line="252" w:lineRule="auto"/>
            </w:pPr>
            <w:r>
              <w:rPr>
                <w:sz w:val="16"/>
              </w:rPr>
              <w:t>Diseño específico por precisar</w:t>
            </w:r>
          </w:p>
        </w:tc>
      </w:tr>
    </w:tbl>
    <w:p>
      <w:pPr>
        <w:spacing w:after="20"/>
      </w:pPr>
    </w:p>
    <w:p>
      <w:pPr>
        <w:pStyle w:val="Heading2"/>
      </w:pPr>
      <w:r>
        <w:t>Decisiones de mejora propuestas y criterios para las fases siguientes</w:t>
      </w:r>
    </w:p>
    <w:tbl>
      <w:tblPr>
        <w:tblStyle w:val="TableGrid"/>
        <w:tblW w:type="auto" w:w="0"/>
        <w:jc w:val="center"/>
        <w:tblLayout w:type="fixed"/>
        <w:tblLook w:firstColumn="1" w:firstRow="1" w:lastColumn="0" w:lastRow="0" w:noHBand="0" w:noVBand="1" w:val="04A0"/>
      </w:tblPr>
      <w:tblGrid>
        <w:gridCol w:w="1077"/>
        <w:gridCol w:w="5159"/>
        <w:gridCol w:w="2948"/>
      </w:tblGrid>
      <w:tr>
        <w:trPr>
          <w:tblHeader w:val="true"/>
        </w:trPr>
        <w:tc>
          <w:tcPr>
            <w:tcW w:type="dxa" w:w="3118"/>
            <w:vAlign w:val="center"/>
            <w:shd w:fill="18485A"/>
          </w:tcPr>
          <w:p>
            <w:pPr>
              <w:spacing w:after="0"/>
            </w:pPr>
            <w:r>
              <w:rPr>
                <w:b/>
                <w:color w:val="FFFFFF"/>
                <w:sz w:val="15"/>
              </w:rPr>
              <w:t>ID</w:t>
            </w:r>
          </w:p>
        </w:tc>
        <w:tc>
          <w:tcPr>
            <w:tcW w:type="dxa" w:w="3118"/>
            <w:vAlign w:val="center"/>
            <w:shd w:fill="18485A"/>
          </w:tcPr>
          <w:p>
            <w:pPr>
              <w:spacing w:after="0"/>
            </w:pPr>
            <w:r>
              <w:rPr>
                <w:b/>
                <w:color w:val="FFFFFF"/>
                <w:sz w:val="15"/>
              </w:rPr>
              <w:t>Acción verificable</w:t>
            </w:r>
          </w:p>
        </w:tc>
        <w:tc>
          <w:tcPr>
            <w:tcW w:type="dxa" w:w="3118"/>
            <w:vAlign w:val="center"/>
            <w:shd w:fill="18485A"/>
          </w:tcPr>
          <w:p>
            <w:pPr>
              <w:spacing w:after="0"/>
            </w:pPr>
            <w:r>
              <w:rPr>
                <w:b/>
                <w:color w:val="FFFFFF"/>
                <w:sz w:val="15"/>
              </w:rPr>
              <w:t>Responsable por designar / criterio de cierre</w:t>
            </w:r>
          </w:p>
        </w:tc>
      </w:tr>
      <w:tr>
        <w:trPr>
          <w:cantSplit/>
        </w:trPr>
        <w:tc>
          <w:tcPr>
            <w:tcW w:type="dxa" w:w="1077"/>
            <w:vAlign w:val="top"/>
          </w:tcPr>
          <w:p>
            <w:pPr>
              <w:spacing w:after="40" w:before="20" w:line="252" w:lineRule="auto"/>
            </w:pPr>
            <w:r>
              <w:rPr>
                <w:sz w:val="15"/>
              </w:rPr>
              <w:t>AC-01</w:t>
            </w:r>
          </w:p>
        </w:tc>
        <w:tc>
          <w:tcPr>
            <w:tcW w:type="dxa" w:w="5159"/>
            <w:vAlign w:val="top"/>
          </w:tcPr>
          <w:p>
            <w:pPr>
              <w:spacing w:after="40" w:before="20" w:line="252" w:lineRule="auto"/>
            </w:pPr>
            <w:r>
              <w:rPr>
                <w:sz w:val="15"/>
              </w:rPr>
              <w:t>Especificar formato, generador y restricción UNIQUE; preparar protocolo de duplicados secuenciales y simultáneos.</w:t>
            </w:r>
          </w:p>
        </w:tc>
        <w:tc>
          <w:tcPr>
            <w:tcW w:type="dxa" w:w="2948"/>
            <w:vAlign w:val="top"/>
          </w:tcPr>
          <w:p>
            <w:pPr>
              <w:spacing w:after="40" w:before="20" w:line="252" w:lineRule="auto"/>
            </w:pPr>
            <w:r>
              <w:rPr>
                <w:sz w:val="15"/>
              </w:rPr>
              <w:t>Backend/BD; especificación del identificador, índice y protocolo aprobado; evidencia de ejecución se anexará después.</w:t>
            </w:r>
          </w:p>
        </w:tc>
      </w:tr>
      <w:tr>
        <w:trPr>
          <w:cantSplit/>
        </w:trPr>
        <w:tc>
          <w:tcPr>
            <w:tcW w:type="dxa" w:w="1077"/>
            <w:vAlign w:val="top"/>
            <w:shd w:fill="F3F7F8"/>
          </w:tcPr>
          <w:p>
            <w:pPr>
              <w:spacing w:after="40" w:before="20" w:line="252" w:lineRule="auto"/>
            </w:pPr>
            <w:r>
              <w:rPr>
                <w:sz w:val="15"/>
              </w:rPr>
              <w:t>AC-02</w:t>
            </w:r>
          </w:p>
        </w:tc>
        <w:tc>
          <w:tcPr>
            <w:tcW w:type="dxa" w:w="5159"/>
            <w:vAlign w:val="top"/>
            <w:shd w:fill="F3F7F8"/>
          </w:tcPr>
          <w:p>
            <w:pPr>
              <w:spacing w:after="40" w:before="20" w:line="252" w:lineRule="auto"/>
            </w:pPr>
            <w:r>
              <w:rPr>
                <w:sz w:val="15"/>
              </w:rPr>
              <w:t>Diseñar la unidad atómica de despacho/retorno y el protocolo de concurrencia multirruta.</w:t>
            </w:r>
          </w:p>
        </w:tc>
        <w:tc>
          <w:tcPr>
            <w:tcW w:type="dxa" w:w="2948"/>
            <w:vAlign w:val="top"/>
            <w:shd w:fill="F3F7F8"/>
          </w:tcPr>
          <w:p>
            <w:pPr>
              <w:spacing w:after="40" w:before="20" w:line="252" w:lineRule="auto"/>
            </w:pPr>
            <w:r>
              <w:rPr>
                <w:sz w:val="15"/>
              </w:rPr>
              <w:t>Arquitectura/backend/QA; mecanismo transaccional diseñado y criterios de aceptación definidos.</w:t>
            </w:r>
          </w:p>
        </w:tc>
      </w:tr>
      <w:tr>
        <w:trPr>
          <w:cantSplit/>
        </w:trPr>
        <w:tc>
          <w:tcPr>
            <w:tcW w:type="dxa" w:w="1077"/>
            <w:vAlign w:val="top"/>
          </w:tcPr>
          <w:p>
            <w:pPr>
              <w:spacing w:after="40" w:before="20" w:line="252" w:lineRule="auto"/>
            </w:pPr>
            <w:r>
              <w:rPr>
                <w:sz w:val="15"/>
              </w:rPr>
              <w:t>AC-03</w:t>
            </w:r>
          </w:p>
        </w:tc>
        <w:tc>
          <w:tcPr>
            <w:tcW w:type="dxa" w:w="5159"/>
            <w:vAlign w:val="top"/>
          </w:tcPr>
          <w:p>
            <w:pPr>
              <w:spacing w:after="40" w:before="20" w:line="252" w:lineRule="auto"/>
            </w:pPr>
            <w:r>
              <w:rPr>
                <w:sz w:val="15"/>
              </w:rPr>
              <w:t>Definir matriz de roles y autorización por objeto; diseñar pruebas negativas de cada operación.</w:t>
            </w:r>
          </w:p>
        </w:tc>
        <w:tc>
          <w:tcPr>
            <w:tcW w:type="dxa" w:w="2948"/>
            <w:vAlign w:val="top"/>
          </w:tcPr>
          <w:p>
            <w:pPr>
              <w:spacing w:after="40" w:before="20" w:line="252" w:lineRule="auto"/>
            </w:pPr>
            <w:r>
              <w:rPr>
                <w:sz w:val="15"/>
              </w:rPr>
              <w:t>Seguridad/backend; roles y permisos documentados y trazados a escenarios.</w:t>
            </w:r>
          </w:p>
        </w:tc>
      </w:tr>
      <w:tr>
        <w:trPr>
          <w:cantSplit/>
        </w:trPr>
        <w:tc>
          <w:tcPr>
            <w:tcW w:type="dxa" w:w="1077"/>
            <w:vAlign w:val="top"/>
            <w:shd w:fill="F3F7F8"/>
          </w:tcPr>
          <w:p>
            <w:pPr>
              <w:spacing w:after="40" w:before="20" w:line="252" w:lineRule="auto"/>
            </w:pPr>
            <w:r>
              <w:rPr>
                <w:sz w:val="15"/>
              </w:rPr>
              <w:t>AC-04</w:t>
            </w:r>
          </w:p>
        </w:tc>
        <w:tc>
          <w:tcPr>
            <w:tcW w:type="dxa" w:w="5159"/>
            <w:vAlign w:val="top"/>
            <w:shd w:fill="F3F7F8"/>
          </w:tcPr>
          <w:p>
            <w:pPr>
              <w:spacing w:after="40" w:before="20" w:line="252" w:lineRule="auto"/>
            </w:pPr>
            <w:r>
              <w:rPr>
                <w:sz w:val="15"/>
              </w:rPr>
              <w:t>Definir unidades, tara, capacidad, tolerancias y conciliación; especificar pruebas de frontera.</w:t>
            </w:r>
          </w:p>
        </w:tc>
        <w:tc>
          <w:tcPr>
            <w:tcW w:type="dxa" w:w="2948"/>
            <w:vAlign w:val="top"/>
            <w:shd w:fill="F3F7F8"/>
          </w:tcPr>
          <w:p>
            <w:pPr>
              <w:spacing w:after="40" w:before="20" w:line="252" w:lineRule="auto"/>
            </w:pPr>
            <w:r>
              <w:rPr>
                <w:sz w:val="15"/>
              </w:rPr>
              <w:t>Operación/backend; reglas de masa aprobadas y casos de validación diseñados.</w:t>
            </w:r>
          </w:p>
        </w:tc>
      </w:tr>
      <w:tr>
        <w:trPr>
          <w:cantSplit/>
        </w:trPr>
        <w:tc>
          <w:tcPr>
            <w:tcW w:type="dxa" w:w="1077"/>
            <w:vAlign w:val="top"/>
          </w:tcPr>
          <w:p>
            <w:pPr>
              <w:spacing w:after="40" w:before="20" w:line="252" w:lineRule="auto"/>
            </w:pPr>
            <w:r>
              <w:rPr>
                <w:sz w:val="15"/>
              </w:rPr>
              <w:t>AC-05</w:t>
            </w:r>
          </w:p>
        </w:tc>
        <w:tc>
          <w:tcPr>
            <w:tcW w:type="dxa" w:w="5159"/>
            <w:vAlign w:val="top"/>
          </w:tcPr>
          <w:p>
            <w:pPr>
              <w:spacing w:after="40" w:before="20" w:line="252" w:lineRule="auto"/>
            </w:pPr>
            <w:r>
              <w:rPr>
                <w:sz w:val="15"/>
              </w:rPr>
              <w:t>Diseñar auditoría de actor, fecha, tipo y causal de rectificación con historial no destructivo.</w:t>
            </w:r>
          </w:p>
        </w:tc>
        <w:tc>
          <w:tcPr>
            <w:tcW w:type="dxa" w:w="2948"/>
            <w:vAlign w:val="top"/>
          </w:tcPr>
          <w:p>
            <w:pPr>
              <w:spacing w:after="40" w:before="20" w:line="252" w:lineRule="auto"/>
            </w:pPr>
            <w:r>
              <w:rPr>
                <w:sz w:val="15"/>
              </w:rPr>
              <w:t>Operación/seguridad; eventos y política de rectificación definidos.</w:t>
            </w:r>
          </w:p>
        </w:tc>
      </w:tr>
      <w:tr>
        <w:trPr>
          <w:cantSplit/>
        </w:trPr>
        <w:tc>
          <w:tcPr>
            <w:tcW w:type="dxa" w:w="1077"/>
            <w:vAlign w:val="top"/>
            <w:shd w:fill="F3F7F8"/>
          </w:tcPr>
          <w:p>
            <w:pPr>
              <w:spacing w:after="40" w:before="20" w:line="252" w:lineRule="auto"/>
            </w:pPr>
            <w:r>
              <w:rPr>
                <w:sz w:val="15"/>
              </w:rPr>
              <w:t>AC-06</w:t>
            </w:r>
          </w:p>
        </w:tc>
        <w:tc>
          <w:tcPr>
            <w:tcW w:type="dxa" w:w="5159"/>
            <w:vAlign w:val="top"/>
            <w:shd w:fill="F3F7F8"/>
          </w:tcPr>
          <w:p>
            <w:pPr>
              <w:spacing w:after="40" w:before="20" w:line="252" w:lineRule="auto"/>
            </w:pPr>
            <w:r>
              <w:rPr>
                <w:sz w:val="15"/>
              </w:rPr>
              <w:t>Definir destino de despliegue, dirección estable, HTTPS y plan de pruebas móviles entre redes.</w:t>
            </w:r>
          </w:p>
        </w:tc>
        <w:tc>
          <w:tcPr>
            <w:tcW w:type="dxa" w:w="2948"/>
            <w:vAlign w:val="top"/>
            <w:shd w:fill="F3F7F8"/>
          </w:tcPr>
          <w:p>
            <w:pPr>
              <w:spacing w:after="40" w:before="20" w:line="252" w:lineRule="auto"/>
            </w:pPr>
            <w:r>
              <w:rPr>
                <w:sz w:val="15"/>
              </w:rPr>
              <w:t>Frontend/infraestructura; diseño de URL, TLS y matriz móvil aprobados.</w:t>
            </w:r>
          </w:p>
        </w:tc>
      </w:tr>
      <w:tr>
        <w:trPr>
          <w:cantSplit/>
        </w:trPr>
        <w:tc>
          <w:tcPr>
            <w:tcW w:type="dxa" w:w="1077"/>
            <w:vAlign w:val="top"/>
          </w:tcPr>
          <w:p>
            <w:pPr>
              <w:spacing w:after="40" w:before="20" w:line="252" w:lineRule="auto"/>
            </w:pPr>
            <w:r>
              <w:rPr>
                <w:sz w:val="15"/>
              </w:rPr>
              <w:t>AC-07</w:t>
            </w:r>
          </w:p>
        </w:tc>
        <w:tc>
          <w:tcPr>
            <w:tcW w:type="dxa" w:w="5159"/>
            <w:vAlign w:val="top"/>
          </w:tcPr>
          <w:p>
            <w:pPr>
              <w:spacing w:after="40" w:before="20" w:line="252" w:lineRule="auto"/>
            </w:pPr>
            <w:r>
              <w:rPr>
                <w:sz w:val="15"/>
              </w:rPr>
              <w:t>Acordar RTO/RPO y política de copias; redactar plan futuro de restauración y cotejo.</w:t>
            </w:r>
          </w:p>
        </w:tc>
        <w:tc>
          <w:tcPr>
            <w:tcW w:type="dxa" w:w="2948"/>
            <w:vAlign w:val="top"/>
          </w:tcPr>
          <w:p>
            <w:pPr>
              <w:spacing w:after="40" w:before="20" w:line="252" w:lineRule="auto"/>
            </w:pPr>
            <w:r>
              <w:rPr>
                <w:sz w:val="15"/>
              </w:rPr>
              <w:t>Infraestructura/BD; objetivos y procedimiento de recuperación especificados.</w:t>
            </w:r>
          </w:p>
        </w:tc>
      </w:tr>
      <w:tr>
        <w:trPr>
          <w:cantSplit/>
        </w:trPr>
        <w:tc>
          <w:tcPr>
            <w:tcW w:type="dxa" w:w="1077"/>
            <w:vAlign w:val="top"/>
            <w:shd w:fill="F3F7F8"/>
          </w:tcPr>
          <w:p>
            <w:pPr>
              <w:spacing w:after="40" w:before="20" w:line="252" w:lineRule="auto"/>
            </w:pPr>
            <w:r>
              <w:rPr>
                <w:sz w:val="15"/>
              </w:rPr>
              <w:t>AC-08</w:t>
            </w:r>
          </w:p>
        </w:tc>
        <w:tc>
          <w:tcPr>
            <w:tcW w:type="dxa" w:w="5159"/>
            <w:vAlign w:val="top"/>
            <w:shd w:fill="F3F7F8"/>
          </w:tcPr>
          <w:p>
            <w:pPr>
              <w:spacing w:after="40" w:before="20" w:line="252" w:lineRule="auto"/>
            </w:pPr>
            <w:r>
              <w:rPr>
                <w:sz w:val="15"/>
              </w:rPr>
              <w:t>Especificar interfaces y escenarios independientes de offline, Azure y Power BI conforme al alcance aprobado.</w:t>
            </w:r>
          </w:p>
        </w:tc>
        <w:tc>
          <w:tcPr>
            <w:tcW w:type="dxa" w:w="2948"/>
            <w:vAlign w:val="top"/>
            <w:shd w:fill="F3F7F8"/>
          </w:tcPr>
          <w:p>
            <w:pPr>
              <w:spacing w:after="40" w:before="20" w:line="252" w:lineRule="auto"/>
            </w:pPr>
            <w:r>
              <w:rPr>
                <w:sz w:val="15"/>
              </w:rPr>
              <w:t>Arquitectura/equipo; contratos y límites de componentes versionados.</w:t>
            </w:r>
          </w:p>
        </w:tc>
      </w:tr>
      <w:tr>
        <w:trPr>
          <w:cantSplit/>
        </w:trPr>
        <w:tc>
          <w:tcPr>
            <w:tcW w:type="dxa" w:w="1077"/>
            <w:vAlign w:val="top"/>
          </w:tcPr>
          <w:p>
            <w:pPr>
              <w:spacing w:after="40" w:before="20" w:line="252" w:lineRule="auto"/>
            </w:pPr>
            <w:r>
              <w:rPr>
                <w:sz w:val="15"/>
              </w:rPr>
              <w:t>AC-09</w:t>
            </w:r>
          </w:p>
        </w:tc>
        <w:tc>
          <w:tcPr>
            <w:tcW w:type="dxa" w:w="5159"/>
            <w:vAlign w:val="top"/>
          </w:tcPr>
          <w:p>
            <w:pPr>
              <w:spacing w:after="40" w:before="20" w:line="252" w:lineRule="auto"/>
            </w:pPr>
            <w:r>
              <w:rPr>
                <w:sz w:val="15"/>
              </w:rPr>
              <w:t>Convocar a interesados, ratificar escenarios y registrar las decisiones para completar ATAM.</w:t>
            </w:r>
          </w:p>
        </w:tc>
        <w:tc>
          <w:tcPr>
            <w:tcW w:type="dxa" w:w="2948"/>
            <w:vAlign w:val="top"/>
          </w:tcPr>
          <w:p>
            <w:pPr>
              <w:spacing w:after="40" w:before="20" w:line="252" w:lineRule="auto"/>
            </w:pPr>
            <w:r>
              <w:rPr>
                <w:sz w:val="15"/>
              </w:rPr>
              <w:t>Líder de proyecto; acta de sesión y decisiones ratificadas cuando se efectúe.</w:t>
            </w:r>
          </w:p>
        </w:tc>
      </w:tr>
    </w:tbl>
    <w:p>
      <w:pPr>
        <w:spacing w:after="20"/>
      </w:pPr>
    </w:p>
    <w:p>
      <w:pPr>
        <w:pStyle w:val="Heading2"/>
      </w:pPr>
      <w:r>
        <w:t>Conclusión formal del corte de septiembre de 2026</w:t>
      </w:r>
    </w:p>
    <w:p>
      <w:r>
        <w:t>La Fase 1 identifica una arquitectura candidata y escenarios para evaluar la integridad del inventario, la trazabilidad, la seguridad y la continuidad operativa. El análisis de diseño permite anticipar riesgos en generación de códigos, concurrencia, autorización, masa y recuperación, y proponer mitigaciones verificables. Este informe no afirma funcionalidades implementadas ni atributos de calidad cumplidos: la validación formal requiere acuerdos de interesados, construcción del sistema y pruebas posteriores con evidencia documentada.</w:t>
      </w:r>
    </w:p>
    <w:p>
      <w:pPr>
        <w:pStyle w:val="Heading1"/>
      </w:pPr>
      <w:r>
        <w:t>Anexo A. Plan de pruebas y evidencias previstas para fases posteriores</w:t>
      </w:r>
    </w:p>
    <w:tbl>
      <w:tblPr>
        <w:tblStyle w:val="TableGrid"/>
        <w:tblW w:type="auto" w:w="0"/>
        <w:jc w:val="center"/>
        <w:tblLayout w:type="fixed"/>
        <w:tblLook w:firstColumn="1" w:firstRow="1" w:lastColumn="0" w:lastRow="0" w:noHBand="0" w:noVBand="1" w:val="04A0"/>
      </w:tblPr>
      <w:tblGrid>
        <w:gridCol w:w="1701"/>
        <w:gridCol w:w="5046"/>
        <w:gridCol w:w="2438"/>
      </w:tblGrid>
      <w:tr>
        <w:trPr>
          <w:tblHeader w:val="true"/>
        </w:trPr>
        <w:tc>
          <w:tcPr>
            <w:tcW w:type="dxa" w:w="3118"/>
            <w:vAlign w:val="center"/>
            <w:shd w:fill="18485A"/>
          </w:tcPr>
          <w:p>
            <w:pPr>
              <w:spacing w:after="0"/>
            </w:pPr>
            <w:r>
              <w:rPr>
                <w:b/>
                <w:color w:val="FFFFFF"/>
                <w:sz w:val="15"/>
              </w:rPr>
              <w:t>Prueba</w:t>
            </w:r>
          </w:p>
        </w:tc>
        <w:tc>
          <w:tcPr>
            <w:tcW w:type="dxa" w:w="3118"/>
            <w:vAlign w:val="center"/>
            <w:shd w:fill="18485A"/>
          </w:tcPr>
          <w:p>
            <w:pPr>
              <w:spacing w:after="0"/>
            </w:pPr>
            <w:r>
              <w:rPr>
                <w:b/>
                <w:color w:val="FFFFFF"/>
                <w:sz w:val="15"/>
              </w:rPr>
              <w:t>Pasos mínimos y resultado esperado</w:t>
            </w:r>
          </w:p>
        </w:tc>
        <w:tc>
          <w:tcPr>
            <w:tcW w:type="dxa" w:w="3118"/>
            <w:vAlign w:val="center"/>
            <w:shd w:fill="18485A"/>
          </w:tcPr>
          <w:p>
            <w:pPr>
              <w:spacing w:after="0"/>
            </w:pPr>
            <w:r>
              <w:rPr>
                <w:b/>
                <w:color w:val="FFFFFF"/>
                <w:sz w:val="15"/>
              </w:rPr>
              <w:t>Evidencia prevista (no producida en Fase 1)</w:t>
            </w:r>
          </w:p>
        </w:tc>
      </w:tr>
      <w:tr>
        <w:trPr>
          <w:cantSplit/>
        </w:trPr>
        <w:tc>
          <w:tcPr>
            <w:tcW w:type="dxa" w:w="1701"/>
            <w:vAlign w:val="top"/>
          </w:tcPr>
          <w:p>
            <w:pPr>
              <w:spacing w:after="40" w:before="20" w:line="252" w:lineRule="auto"/>
            </w:pPr>
            <w:r>
              <w:rPr>
                <w:sz w:val="15"/>
              </w:rPr>
              <w:t>PT-01 Unicidad</w:t>
            </w:r>
          </w:p>
        </w:tc>
        <w:tc>
          <w:tcPr>
            <w:tcW w:type="dxa" w:w="5046"/>
            <w:vAlign w:val="top"/>
          </w:tcPr>
          <w:p>
            <w:pPr>
              <w:spacing w:after="40" w:before="20" w:line="252" w:lineRule="auto"/>
            </w:pPr>
            <w:r>
              <w:rPr>
                <w:sz w:val="15"/>
              </w:rPr>
              <w:t>Intentar insertar un código existente por web, API y dos solicitudes simultáneas; consultar tabla; no hay duplicados.</w:t>
            </w:r>
          </w:p>
        </w:tc>
        <w:tc>
          <w:tcPr>
            <w:tcW w:type="dxa" w:w="2438"/>
            <w:vAlign w:val="top"/>
          </w:tcPr>
          <w:p>
            <w:pPr>
              <w:spacing w:after="40" w:before="20" w:line="252" w:lineRule="auto"/>
            </w:pPr>
            <w:r>
              <w:rPr>
                <w:sz w:val="15"/>
              </w:rPr>
              <w:t>Versión migración, salida SQL, solicitudes HTTP, respuestas y tabla final.</w:t>
            </w:r>
          </w:p>
        </w:tc>
      </w:tr>
      <w:tr>
        <w:trPr>
          <w:cantSplit/>
        </w:trPr>
        <w:tc>
          <w:tcPr>
            <w:tcW w:type="dxa" w:w="1701"/>
            <w:vAlign w:val="top"/>
            <w:shd w:fill="F3F7F8"/>
          </w:tcPr>
          <w:p>
            <w:pPr>
              <w:spacing w:after="40" w:before="20" w:line="252" w:lineRule="auto"/>
            </w:pPr>
            <w:r>
              <w:rPr>
                <w:sz w:val="15"/>
              </w:rPr>
              <w:t>PT-02 Carrera de despacho</w:t>
            </w:r>
          </w:p>
        </w:tc>
        <w:tc>
          <w:tcPr>
            <w:tcW w:type="dxa" w:w="5046"/>
            <w:vAlign w:val="top"/>
            <w:shd w:fill="F3F7F8"/>
          </w:tcPr>
          <w:p>
            <w:pPr>
              <w:spacing w:after="40" w:before="20" w:line="252" w:lineRule="auto"/>
            </w:pPr>
            <w:r>
              <w:rPr>
                <w:sz w:val="15"/>
              </w:rPr>
              <w:t>Lanzar dos despachos simultáneos del mismo cilindro; revisar respuestas, estado y movimientos; máximo uno activo.</w:t>
            </w:r>
          </w:p>
        </w:tc>
        <w:tc>
          <w:tcPr>
            <w:tcW w:type="dxa" w:w="2438"/>
            <w:vAlign w:val="top"/>
            <w:shd w:fill="F3F7F8"/>
          </w:tcPr>
          <w:p>
            <w:pPr>
              <w:spacing w:after="40" w:before="20" w:line="252" w:lineRule="auto"/>
            </w:pPr>
            <w:r>
              <w:rPr>
                <w:sz w:val="15"/>
              </w:rPr>
              <w:t>Script de carga, trazas con marcas de tiempo y consultas posteriores.</w:t>
            </w:r>
          </w:p>
        </w:tc>
      </w:tr>
      <w:tr>
        <w:trPr>
          <w:cantSplit/>
        </w:trPr>
        <w:tc>
          <w:tcPr>
            <w:tcW w:type="dxa" w:w="1701"/>
            <w:vAlign w:val="top"/>
          </w:tcPr>
          <w:p>
            <w:pPr>
              <w:spacing w:after="40" w:before="20" w:line="252" w:lineRule="auto"/>
            </w:pPr>
            <w:r>
              <w:rPr>
                <w:sz w:val="15"/>
              </w:rPr>
              <w:t>PT-03 Acceso indebido</w:t>
            </w:r>
          </w:p>
        </w:tc>
        <w:tc>
          <w:tcPr>
            <w:tcW w:type="dxa" w:w="5046"/>
            <w:vAlign w:val="top"/>
          </w:tcPr>
          <w:p>
            <w:pPr>
              <w:spacing w:after="40" w:before="20" w:line="252" w:lineRule="auto"/>
            </w:pPr>
            <w:r>
              <w:rPr>
                <w:sz w:val="15"/>
              </w:rPr>
              <w:t>Probar endpoints sin sesión, con rol insuficiente y alterando ID de cilindro ajeno.</w:t>
            </w:r>
          </w:p>
        </w:tc>
        <w:tc>
          <w:tcPr>
            <w:tcW w:type="dxa" w:w="2438"/>
            <w:vAlign w:val="top"/>
          </w:tcPr>
          <w:p>
            <w:pPr>
              <w:spacing w:after="40" w:before="20" w:line="252" w:lineRule="auto"/>
            </w:pPr>
            <w:r>
              <w:rPr>
                <w:sz w:val="15"/>
              </w:rPr>
              <w:t>Matriz de permisos, respuestas y evidencia de no modificación.</w:t>
            </w:r>
          </w:p>
        </w:tc>
      </w:tr>
      <w:tr>
        <w:trPr>
          <w:cantSplit/>
        </w:trPr>
        <w:tc>
          <w:tcPr>
            <w:tcW w:type="dxa" w:w="1701"/>
            <w:vAlign w:val="top"/>
            <w:shd w:fill="F3F7F8"/>
          </w:tcPr>
          <w:p>
            <w:pPr>
              <w:spacing w:after="40" w:before="20" w:line="252" w:lineRule="auto"/>
            </w:pPr>
            <w:r>
              <w:rPr>
                <w:sz w:val="15"/>
              </w:rPr>
              <w:t>PT-04 Historial QR</w:t>
            </w:r>
          </w:p>
        </w:tc>
        <w:tc>
          <w:tcPr>
            <w:tcW w:type="dxa" w:w="5046"/>
            <w:vAlign w:val="top"/>
            <w:shd w:fill="F3F7F8"/>
          </w:tcPr>
          <w:p>
            <w:pPr>
              <w:spacing w:after="40" w:before="20" w:line="252" w:lineRule="auto"/>
            </w:pPr>
            <w:r>
              <w:rPr>
                <w:sz w:val="15"/>
              </w:rPr>
              <w:t>Crear secuencia controlada despacho–retorno–rectificación y recuperar por QR; comparar todos los eventos.</w:t>
            </w:r>
          </w:p>
        </w:tc>
        <w:tc>
          <w:tcPr>
            <w:tcW w:type="dxa" w:w="2438"/>
            <w:vAlign w:val="top"/>
            <w:shd w:fill="F3F7F8"/>
          </w:tcPr>
          <w:p>
            <w:pPr>
              <w:spacing w:after="40" w:before="20" w:line="252" w:lineRule="auto"/>
            </w:pPr>
            <w:r>
              <w:rPr>
                <w:sz w:val="15"/>
              </w:rPr>
              <w:t>Datos de prueba, API de historial y cotejo SQL ordenado.</w:t>
            </w:r>
          </w:p>
        </w:tc>
      </w:tr>
      <w:tr>
        <w:trPr>
          <w:cantSplit/>
        </w:trPr>
        <w:tc>
          <w:tcPr>
            <w:tcW w:type="dxa" w:w="1701"/>
            <w:vAlign w:val="top"/>
          </w:tcPr>
          <w:p>
            <w:pPr>
              <w:spacing w:after="40" w:before="20" w:line="252" w:lineRule="auto"/>
            </w:pPr>
            <w:r>
              <w:rPr>
                <w:sz w:val="15"/>
              </w:rPr>
              <w:t>PT-05 Masa</w:t>
            </w:r>
          </w:p>
        </w:tc>
        <w:tc>
          <w:tcPr>
            <w:tcW w:type="dxa" w:w="5046"/>
            <w:vAlign w:val="top"/>
          </w:tcPr>
          <w:p>
            <w:pPr>
              <w:spacing w:after="40" w:before="20" w:line="252" w:lineRule="auto"/>
            </w:pPr>
            <w:r>
              <w:rPr>
                <w:sz w:val="15"/>
              </w:rPr>
              <w:t>Probar límites (0, capacidad, negativos, unidades, retorno fuera de tolerancia) y confirmar rechazos consistentes.</w:t>
            </w:r>
          </w:p>
        </w:tc>
        <w:tc>
          <w:tcPr>
            <w:tcW w:type="dxa" w:w="2438"/>
            <w:vAlign w:val="top"/>
          </w:tcPr>
          <w:p>
            <w:pPr>
              <w:spacing w:after="40" w:before="20" w:line="252" w:lineRule="auto"/>
            </w:pPr>
            <w:r>
              <w:rPr>
                <w:sz w:val="15"/>
              </w:rPr>
              <w:t>Reglas de masa aprobadas, entradas/salidas y estado en BD.</w:t>
            </w:r>
          </w:p>
        </w:tc>
      </w:tr>
      <w:tr>
        <w:trPr>
          <w:cantSplit/>
        </w:trPr>
        <w:tc>
          <w:tcPr>
            <w:tcW w:type="dxa" w:w="1701"/>
            <w:vAlign w:val="top"/>
            <w:shd w:fill="F3F7F8"/>
          </w:tcPr>
          <w:p>
            <w:pPr>
              <w:spacing w:after="40" w:before="20" w:line="252" w:lineRule="auto"/>
            </w:pPr>
            <w:r>
              <w:rPr>
                <w:sz w:val="15"/>
              </w:rPr>
              <w:t>PT-06 Recuperación</w:t>
            </w:r>
          </w:p>
        </w:tc>
        <w:tc>
          <w:tcPr>
            <w:tcW w:type="dxa" w:w="5046"/>
            <w:vAlign w:val="top"/>
            <w:shd w:fill="F3F7F8"/>
          </w:tcPr>
          <w:p>
            <w:pPr>
              <w:spacing w:after="40" w:before="20" w:line="252" w:lineRule="auto"/>
            </w:pPr>
            <w:r>
              <w:rPr>
                <w:sz w:val="15"/>
              </w:rPr>
              <w:t>Simular indisponibilidad, restaurar respaldo y cotejar cilindros/movimientos; medir RTO/RPO.</w:t>
            </w:r>
          </w:p>
        </w:tc>
        <w:tc>
          <w:tcPr>
            <w:tcW w:type="dxa" w:w="2438"/>
            <w:vAlign w:val="top"/>
            <w:shd w:fill="F3F7F8"/>
          </w:tcPr>
          <w:p>
            <w:pPr>
              <w:spacing w:after="40" w:before="20" w:line="252" w:lineRule="auto"/>
            </w:pPr>
            <w:r>
              <w:rPr>
                <w:sz w:val="15"/>
              </w:rPr>
              <w:t>Registro del ejercicio, duración, punto recuperado y diferencias.</w:t>
            </w:r>
          </w:p>
        </w:tc>
      </w:tr>
      <w:tr>
        <w:trPr>
          <w:cantSplit/>
        </w:trPr>
        <w:tc>
          <w:tcPr>
            <w:tcW w:type="dxa" w:w="1701"/>
            <w:vAlign w:val="top"/>
          </w:tcPr>
          <w:p>
            <w:pPr>
              <w:spacing w:after="40" w:before="20" w:line="252" w:lineRule="auto"/>
            </w:pPr>
            <w:r>
              <w:rPr>
                <w:sz w:val="15"/>
              </w:rPr>
              <w:t>PT-07 Móvil</w:t>
            </w:r>
          </w:p>
        </w:tc>
        <w:tc>
          <w:tcPr>
            <w:tcW w:type="dxa" w:w="5046"/>
            <w:vAlign w:val="top"/>
          </w:tcPr>
          <w:p>
            <w:pPr>
              <w:spacing w:after="40" w:before="20" w:line="252" w:lineRule="auto"/>
            </w:pPr>
            <w:r>
              <w:rPr>
                <w:sz w:val="15"/>
              </w:rPr>
              <w:t>Abrir ficha por QR en dispositivos/navegadores definidos, probar cambio Wi-Fi/datos y registrar interfaz/red.</w:t>
            </w:r>
          </w:p>
        </w:tc>
        <w:tc>
          <w:tcPr>
            <w:tcW w:type="dxa" w:w="2438"/>
            <w:vAlign w:val="top"/>
          </w:tcPr>
          <w:p>
            <w:pPr>
              <w:spacing w:after="40" w:before="20" w:line="252" w:lineRule="auto"/>
            </w:pPr>
            <w:r>
              <w:rPr>
                <w:sz w:val="15"/>
              </w:rPr>
              <w:t>Matriz de dispositivos y capturas con resultados.</w:t>
            </w:r>
          </w:p>
        </w:tc>
      </w:tr>
      <w:tr>
        <w:trPr>
          <w:cantSplit/>
        </w:trPr>
        <w:tc>
          <w:tcPr>
            <w:tcW w:type="dxa" w:w="1701"/>
            <w:vAlign w:val="top"/>
            <w:shd w:fill="F3F7F8"/>
          </w:tcPr>
          <w:p>
            <w:pPr>
              <w:spacing w:after="40" w:before="20" w:line="252" w:lineRule="auto"/>
            </w:pPr>
            <w:r>
              <w:rPr>
                <w:sz w:val="15"/>
              </w:rPr>
              <w:t>PT-08 Offline futuro</w:t>
            </w:r>
          </w:p>
        </w:tc>
        <w:tc>
          <w:tcPr>
            <w:tcW w:type="dxa" w:w="5046"/>
            <w:vAlign w:val="top"/>
            <w:shd w:fill="F3F7F8"/>
          </w:tcPr>
          <w:p>
            <w:pPr>
              <w:spacing w:after="40" w:before="20" w:line="252" w:lineRule="auto"/>
            </w:pPr>
            <w:r>
              <w:rPr>
                <w:sz w:val="15"/>
              </w:rPr>
              <w:t>Crear conflictos entre clientes desconectados y sincronizar; probar idempotencia y resolución explícita.</w:t>
            </w:r>
          </w:p>
        </w:tc>
        <w:tc>
          <w:tcPr>
            <w:tcW w:type="dxa" w:w="2438"/>
            <w:vAlign w:val="top"/>
            <w:shd w:fill="F3F7F8"/>
          </w:tcPr>
          <w:p>
            <w:pPr>
              <w:spacing w:after="40" w:before="20" w:line="252" w:lineRule="auto"/>
            </w:pPr>
            <w:r>
              <w:rPr>
                <w:sz w:val="15"/>
              </w:rPr>
              <w:t>Diseño aprobado, registro de conflictos y auditoría del resultado.</w:t>
            </w:r>
          </w:p>
        </w:tc>
      </w:tr>
    </w:tbl>
    <w:p>
      <w:pPr>
        <w:spacing w:after="20"/>
      </w:pPr>
    </w:p>
    <w:p>
      <w:pPr>
        <w:pStyle w:val="Heading1"/>
      </w:pPr>
      <w:r>
        <w:t>Anexo B. Matriz de trazabilidad del diseño y verificación futura</w:t>
      </w:r>
    </w:p>
    <w:tbl>
      <w:tblPr>
        <w:tblStyle w:val="TableGrid"/>
        <w:tblW w:type="auto" w:w="0"/>
        <w:jc w:val="center"/>
        <w:tblLayout w:type="fixed"/>
        <w:tblLook w:firstColumn="1" w:firstRow="1" w:lastColumn="0" w:lastRow="0" w:noHBand="0" w:noVBand="1" w:val="04A0"/>
      </w:tblPr>
      <w:tblGrid>
        <w:gridCol w:w="1474"/>
        <w:gridCol w:w="1701"/>
        <w:gridCol w:w="3061"/>
        <w:gridCol w:w="1361"/>
        <w:gridCol w:w="1587"/>
      </w:tblGrid>
      <w:tr>
        <w:trPr>
          <w:tblHeader w:val="true"/>
        </w:trPr>
        <w:tc>
          <w:tcPr>
            <w:tcW w:type="dxa" w:w="1871"/>
            <w:vAlign w:val="center"/>
            <w:shd w:fill="18485A"/>
          </w:tcPr>
          <w:p>
            <w:pPr>
              <w:spacing w:after="0"/>
            </w:pPr>
            <w:r>
              <w:rPr>
                <w:b/>
                <w:color w:val="FFFFFF"/>
                <w:sz w:val="15"/>
              </w:rPr>
              <w:t>Objetivo</w:t>
            </w:r>
          </w:p>
        </w:tc>
        <w:tc>
          <w:tcPr>
            <w:tcW w:type="dxa" w:w="1871"/>
            <w:vAlign w:val="center"/>
            <w:shd w:fill="18485A"/>
          </w:tcPr>
          <w:p>
            <w:pPr>
              <w:spacing w:after="0"/>
            </w:pPr>
            <w:r>
              <w:rPr>
                <w:b/>
                <w:color w:val="FFFFFF"/>
                <w:sz w:val="15"/>
              </w:rPr>
              <w:t>Escenario</w:t>
            </w:r>
          </w:p>
        </w:tc>
        <w:tc>
          <w:tcPr>
            <w:tcW w:type="dxa" w:w="1871"/>
            <w:vAlign w:val="center"/>
            <w:shd w:fill="18485A"/>
          </w:tcPr>
          <w:p>
            <w:pPr>
              <w:spacing w:after="0"/>
            </w:pPr>
            <w:r>
              <w:rPr>
                <w:b/>
                <w:color w:val="FFFFFF"/>
                <w:sz w:val="15"/>
              </w:rPr>
              <w:t>Decisión / componente</w:t>
            </w:r>
          </w:p>
        </w:tc>
        <w:tc>
          <w:tcPr>
            <w:tcW w:type="dxa" w:w="1871"/>
            <w:vAlign w:val="center"/>
            <w:shd w:fill="18485A"/>
          </w:tcPr>
          <w:p>
            <w:pPr>
              <w:spacing w:after="0"/>
            </w:pPr>
            <w:r>
              <w:rPr>
                <w:b/>
                <w:color w:val="FFFFFF"/>
                <w:sz w:val="15"/>
              </w:rPr>
              <w:t>Prueba asociada</w:t>
            </w:r>
          </w:p>
        </w:tc>
        <w:tc>
          <w:tcPr>
            <w:tcW w:type="dxa" w:w="1871"/>
            <w:vAlign w:val="center"/>
            <w:shd w:fill="18485A"/>
          </w:tcPr>
          <w:p>
            <w:pPr>
              <w:spacing w:after="0"/>
            </w:pPr>
            <w:r>
              <w:rPr>
                <w:b/>
                <w:color w:val="FFFFFF"/>
                <w:sz w:val="15"/>
              </w:rPr>
              <w:t>Estado de Fase 1</w:t>
            </w:r>
          </w:p>
        </w:tc>
      </w:tr>
      <w:tr>
        <w:trPr>
          <w:cantSplit/>
        </w:trPr>
        <w:tc>
          <w:tcPr>
            <w:tcW w:type="dxa" w:w="1474"/>
            <w:vAlign w:val="top"/>
          </w:tcPr>
          <w:p>
            <w:pPr>
              <w:spacing w:after="40" w:before="20" w:line="252" w:lineRule="auto"/>
            </w:pPr>
            <w:r>
              <w:rPr>
                <w:sz w:val="15"/>
              </w:rPr>
              <w:t>ON-01</w:t>
            </w:r>
          </w:p>
        </w:tc>
        <w:tc>
          <w:tcPr>
            <w:tcW w:type="dxa" w:w="1701"/>
            <w:vAlign w:val="top"/>
          </w:tcPr>
          <w:p>
            <w:pPr>
              <w:spacing w:after="40" w:before="20" w:line="252" w:lineRule="auto"/>
            </w:pPr>
            <w:r>
              <w:rPr>
                <w:sz w:val="15"/>
              </w:rPr>
              <w:t>EC-01</w:t>
            </w:r>
          </w:p>
        </w:tc>
        <w:tc>
          <w:tcPr>
            <w:tcW w:type="dxa" w:w="3061"/>
            <w:vAlign w:val="top"/>
          </w:tcPr>
          <w:p>
            <w:pPr>
              <w:spacing w:after="40" w:before="20" w:line="252" w:lineRule="auto"/>
            </w:pPr>
            <w:r>
              <w:rPr>
                <w:sz w:val="15"/>
              </w:rPr>
              <w:t>DA-02, DA-03 / API + PostgreSQL</w:t>
            </w:r>
          </w:p>
        </w:tc>
        <w:tc>
          <w:tcPr>
            <w:tcW w:type="dxa" w:w="1361"/>
            <w:vAlign w:val="top"/>
          </w:tcPr>
          <w:p>
            <w:pPr>
              <w:spacing w:after="40" w:before="20" w:line="252" w:lineRule="auto"/>
            </w:pPr>
            <w:r>
              <w:rPr>
                <w:sz w:val="15"/>
              </w:rPr>
              <w:t>PT-01</w:t>
            </w:r>
          </w:p>
        </w:tc>
        <w:tc>
          <w:tcPr>
            <w:tcW w:type="dxa" w:w="1587"/>
            <w:vAlign w:val="top"/>
          </w:tcPr>
          <w:p>
            <w:pPr>
              <w:spacing w:after="40" w:before="20" w:line="252" w:lineRule="auto"/>
            </w:pPr>
            <w:r>
              <w:rPr>
                <w:sz w:val="15"/>
              </w:rPr>
              <w:t>Decisión propuesta</w:t>
            </w:r>
          </w:p>
        </w:tc>
      </w:tr>
      <w:tr>
        <w:trPr>
          <w:cantSplit/>
        </w:trPr>
        <w:tc>
          <w:tcPr>
            <w:tcW w:type="dxa" w:w="1474"/>
            <w:vAlign w:val="top"/>
            <w:shd w:fill="F3F7F8"/>
          </w:tcPr>
          <w:p>
            <w:pPr>
              <w:spacing w:after="40" w:before="20" w:line="252" w:lineRule="auto"/>
            </w:pPr>
            <w:r>
              <w:rPr>
                <w:sz w:val="15"/>
              </w:rPr>
              <w:t>ON-02</w:t>
            </w:r>
          </w:p>
        </w:tc>
        <w:tc>
          <w:tcPr>
            <w:tcW w:type="dxa" w:w="1701"/>
            <w:vAlign w:val="top"/>
            <w:shd w:fill="F3F7F8"/>
          </w:tcPr>
          <w:p>
            <w:pPr>
              <w:spacing w:after="40" w:before="20" w:line="252" w:lineRule="auto"/>
            </w:pPr>
            <w:r>
              <w:rPr>
                <w:sz w:val="15"/>
              </w:rPr>
              <w:t>EC-02 / EA-01</w:t>
            </w:r>
          </w:p>
        </w:tc>
        <w:tc>
          <w:tcPr>
            <w:tcW w:type="dxa" w:w="3061"/>
            <w:vAlign w:val="top"/>
            <w:shd w:fill="F3F7F8"/>
          </w:tcPr>
          <w:p>
            <w:pPr>
              <w:spacing w:after="40" w:before="20" w:line="252" w:lineRule="auto"/>
            </w:pPr>
            <w:r>
              <w:rPr>
                <w:sz w:val="15"/>
              </w:rPr>
              <w:t>DA-02 / API + datos</w:t>
            </w:r>
          </w:p>
        </w:tc>
        <w:tc>
          <w:tcPr>
            <w:tcW w:type="dxa" w:w="1361"/>
            <w:vAlign w:val="top"/>
            <w:shd w:fill="F3F7F8"/>
          </w:tcPr>
          <w:p>
            <w:pPr>
              <w:spacing w:after="40" w:before="20" w:line="252" w:lineRule="auto"/>
            </w:pPr>
            <w:r>
              <w:rPr>
                <w:sz w:val="15"/>
              </w:rPr>
              <w:t>PT-02</w:t>
            </w:r>
          </w:p>
        </w:tc>
        <w:tc>
          <w:tcPr>
            <w:tcW w:type="dxa" w:w="1587"/>
            <w:vAlign w:val="top"/>
            <w:shd w:fill="F3F7F8"/>
          </w:tcPr>
          <w:p>
            <w:pPr>
              <w:spacing w:after="40" w:before="20" w:line="252" w:lineRule="auto"/>
            </w:pPr>
            <w:r>
              <w:rPr>
                <w:sz w:val="15"/>
              </w:rPr>
              <w:t>Riesgo identificado</w:t>
            </w:r>
          </w:p>
        </w:tc>
      </w:tr>
      <w:tr>
        <w:trPr>
          <w:cantSplit/>
        </w:trPr>
        <w:tc>
          <w:tcPr>
            <w:tcW w:type="dxa" w:w="1474"/>
            <w:vAlign w:val="top"/>
          </w:tcPr>
          <w:p>
            <w:pPr>
              <w:spacing w:after="40" w:before="20" w:line="252" w:lineRule="auto"/>
            </w:pPr>
            <w:r>
              <w:rPr>
                <w:sz w:val="15"/>
              </w:rPr>
              <w:t>ON-03</w:t>
            </w:r>
          </w:p>
        </w:tc>
        <w:tc>
          <w:tcPr>
            <w:tcW w:type="dxa" w:w="1701"/>
            <w:vAlign w:val="top"/>
          </w:tcPr>
          <w:p>
            <w:pPr>
              <w:spacing w:after="40" w:before="20" w:line="252" w:lineRule="auto"/>
            </w:pPr>
            <w:r>
              <w:rPr>
                <w:sz w:val="15"/>
              </w:rPr>
              <w:t>EC-03 / EA-02</w:t>
            </w:r>
          </w:p>
        </w:tc>
        <w:tc>
          <w:tcPr>
            <w:tcW w:type="dxa" w:w="3061"/>
            <w:vAlign w:val="top"/>
          </w:tcPr>
          <w:p>
            <w:pPr>
              <w:spacing w:after="40" w:before="20" w:line="252" w:lineRule="auto"/>
            </w:pPr>
            <w:r>
              <w:rPr>
                <w:sz w:val="15"/>
              </w:rPr>
              <w:t>DA-04 / QR + API + movimientos</w:t>
            </w:r>
          </w:p>
        </w:tc>
        <w:tc>
          <w:tcPr>
            <w:tcW w:type="dxa" w:w="1361"/>
            <w:vAlign w:val="top"/>
          </w:tcPr>
          <w:p>
            <w:pPr>
              <w:spacing w:after="40" w:before="20" w:line="252" w:lineRule="auto"/>
            </w:pPr>
            <w:r>
              <w:rPr>
                <w:sz w:val="15"/>
              </w:rPr>
              <w:t>PT-04</w:t>
            </w:r>
          </w:p>
        </w:tc>
        <w:tc>
          <w:tcPr>
            <w:tcW w:type="dxa" w:w="1587"/>
            <w:vAlign w:val="top"/>
          </w:tcPr>
          <w:p>
            <w:pPr>
              <w:spacing w:after="40" w:before="20" w:line="252" w:lineRule="auto"/>
            </w:pPr>
            <w:r>
              <w:rPr>
                <w:sz w:val="15"/>
              </w:rPr>
              <w:t>Escenario definido</w:t>
            </w:r>
          </w:p>
        </w:tc>
      </w:tr>
      <w:tr>
        <w:trPr>
          <w:cantSplit/>
        </w:trPr>
        <w:tc>
          <w:tcPr>
            <w:tcW w:type="dxa" w:w="1474"/>
            <w:vAlign w:val="top"/>
            <w:shd w:fill="F3F7F8"/>
          </w:tcPr>
          <w:p>
            <w:pPr>
              <w:spacing w:after="40" w:before="20" w:line="252" w:lineRule="auto"/>
            </w:pPr>
            <w:r>
              <w:rPr>
                <w:sz w:val="15"/>
              </w:rPr>
              <w:t>ON-05</w:t>
            </w:r>
          </w:p>
        </w:tc>
        <w:tc>
          <w:tcPr>
            <w:tcW w:type="dxa" w:w="1701"/>
            <w:vAlign w:val="top"/>
            <w:shd w:fill="F3F7F8"/>
          </w:tcPr>
          <w:p>
            <w:pPr>
              <w:spacing w:after="40" w:before="20" w:line="252" w:lineRule="auto"/>
            </w:pPr>
            <w:r>
              <w:rPr>
                <w:sz w:val="15"/>
              </w:rPr>
              <w:t>EC-04 / EA-03</w:t>
            </w:r>
          </w:p>
        </w:tc>
        <w:tc>
          <w:tcPr>
            <w:tcW w:type="dxa" w:w="3061"/>
            <w:vAlign w:val="top"/>
            <w:shd w:fill="F3F7F8"/>
          </w:tcPr>
          <w:p>
            <w:pPr>
              <w:spacing w:after="40" w:before="20" w:line="252" w:lineRule="auto"/>
            </w:pPr>
            <w:r>
              <w:rPr>
                <w:sz w:val="15"/>
              </w:rPr>
              <w:t>DA-05 / identidad + autorización</w:t>
            </w:r>
          </w:p>
        </w:tc>
        <w:tc>
          <w:tcPr>
            <w:tcW w:type="dxa" w:w="1361"/>
            <w:vAlign w:val="top"/>
            <w:shd w:fill="F3F7F8"/>
          </w:tcPr>
          <w:p>
            <w:pPr>
              <w:spacing w:after="40" w:before="20" w:line="252" w:lineRule="auto"/>
            </w:pPr>
            <w:r>
              <w:rPr>
                <w:sz w:val="15"/>
              </w:rPr>
              <w:t>PT-03</w:t>
            </w:r>
          </w:p>
        </w:tc>
        <w:tc>
          <w:tcPr>
            <w:tcW w:type="dxa" w:w="1587"/>
            <w:vAlign w:val="top"/>
            <w:shd w:fill="F3F7F8"/>
          </w:tcPr>
          <w:p>
            <w:pPr>
              <w:spacing w:after="40" w:before="20" w:line="252" w:lineRule="auto"/>
            </w:pPr>
            <w:r>
              <w:rPr>
                <w:sz w:val="15"/>
              </w:rPr>
              <w:t>Control por diseñar</w:t>
            </w:r>
          </w:p>
        </w:tc>
      </w:tr>
      <w:tr>
        <w:trPr>
          <w:cantSplit/>
        </w:trPr>
        <w:tc>
          <w:tcPr>
            <w:tcW w:type="dxa" w:w="1474"/>
            <w:vAlign w:val="top"/>
          </w:tcPr>
          <w:p>
            <w:pPr>
              <w:spacing w:after="40" w:before="20" w:line="252" w:lineRule="auto"/>
            </w:pPr>
            <w:r>
              <w:rPr>
                <w:sz w:val="15"/>
              </w:rPr>
              <w:t>ON-04</w:t>
            </w:r>
          </w:p>
        </w:tc>
        <w:tc>
          <w:tcPr>
            <w:tcW w:type="dxa" w:w="1701"/>
            <w:vAlign w:val="top"/>
          </w:tcPr>
          <w:p>
            <w:pPr>
              <w:spacing w:after="40" w:before="20" w:line="252" w:lineRule="auto"/>
            </w:pPr>
            <w:r>
              <w:rPr>
                <w:sz w:val="15"/>
              </w:rPr>
              <w:t>EC-05 / EA-04</w:t>
            </w:r>
          </w:p>
        </w:tc>
        <w:tc>
          <w:tcPr>
            <w:tcW w:type="dxa" w:w="3061"/>
            <w:vAlign w:val="top"/>
          </w:tcPr>
          <w:p>
            <w:pPr>
              <w:spacing w:after="40" w:before="20" w:line="252" w:lineRule="auto"/>
            </w:pPr>
            <w:r>
              <w:rPr>
                <w:sz w:val="15"/>
              </w:rPr>
              <w:t>DA-01, DA-06 / cliente + red</w:t>
            </w:r>
          </w:p>
        </w:tc>
        <w:tc>
          <w:tcPr>
            <w:tcW w:type="dxa" w:w="1361"/>
            <w:vAlign w:val="top"/>
          </w:tcPr>
          <w:p>
            <w:pPr>
              <w:spacing w:after="40" w:before="20" w:line="252" w:lineRule="auto"/>
            </w:pPr>
            <w:r>
              <w:rPr>
                <w:sz w:val="15"/>
              </w:rPr>
              <w:t>PT-07</w:t>
            </w:r>
          </w:p>
        </w:tc>
        <w:tc>
          <w:tcPr>
            <w:tcW w:type="dxa" w:w="1587"/>
            <w:vAlign w:val="top"/>
          </w:tcPr>
          <w:p>
            <w:pPr>
              <w:spacing w:after="40" w:before="20" w:line="252" w:lineRule="auto"/>
            </w:pPr>
            <w:r>
              <w:rPr>
                <w:sz w:val="15"/>
              </w:rPr>
              <w:t>Escenario definido</w:t>
            </w:r>
          </w:p>
        </w:tc>
      </w:tr>
      <w:tr>
        <w:trPr>
          <w:cantSplit/>
        </w:trPr>
        <w:tc>
          <w:tcPr>
            <w:tcW w:type="dxa" w:w="1474"/>
            <w:vAlign w:val="top"/>
            <w:shd w:fill="F3F7F8"/>
          </w:tcPr>
          <w:p>
            <w:pPr>
              <w:spacing w:after="40" w:before="20" w:line="252" w:lineRule="auto"/>
            </w:pPr>
            <w:r>
              <w:rPr>
                <w:sz w:val="15"/>
              </w:rPr>
              <w:t>Continuidad</w:t>
            </w:r>
          </w:p>
        </w:tc>
        <w:tc>
          <w:tcPr>
            <w:tcW w:type="dxa" w:w="1701"/>
            <w:vAlign w:val="top"/>
            <w:shd w:fill="F3F7F8"/>
          </w:tcPr>
          <w:p>
            <w:pPr>
              <w:spacing w:after="40" w:before="20" w:line="252" w:lineRule="auto"/>
            </w:pPr>
            <w:r>
              <w:rPr>
                <w:sz w:val="15"/>
              </w:rPr>
              <w:t>EC-06 / EA-05</w:t>
            </w:r>
          </w:p>
        </w:tc>
        <w:tc>
          <w:tcPr>
            <w:tcW w:type="dxa" w:w="3061"/>
            <w:vAlign w:val="top"/>
            <w:shd w:fill="F3F7F8"/>
          </w:tcPr>
          <w:p>
            <w:pPr>
              <w:spacing w:after="40" w:before="20" w:line="252" w:lineRule="auto"/>
            </w:pPr>
            <w:r>
              <w:rPr>
                <w:sz w:val="15"/>
              </w:rPr>
              <w:t>BD + respaldo + despliegue</w:t>
            </w:r>
          </w:p>
        </w:tc>
        <w:tc>
          <w:tcPr>
            <w:tcW w:type="dxa" w:w="1361"/>
            <w:vAlign w:val="top"/>
            <w:shd w:fill="F3F7F8"/>
          </w:tcPr>
          <w:p>
            <w:pPr>
              <w:spacing w:after="40" w:before="20" w:line="252" w:lineRule="auto"/>
            </w:pPr>
            <w:r>
              <w:rPr>
                <w:sz w:val="15"/>
              </w:rPr>
              <w:t>PT-06</w:t>
            </w:r>
          </w:p>
        </w:tc>
        <w:tc>
          <w:tcPr>
            <w:tcW w:type="dxa" w:w="1587"/>
            <w:vAlign w:val="top"/>
            <w:shd w:fill="F3F7F8"/>
          </w:tcPr>
          <w:p>
            <w:pPr>
              <w:spacing w:after="40" w:before="20" w:line="252" w:lineRule="auto"/>
            </w:pPr>
            <w:r>
              <w:rPr>
                <w:sz w:val="15"/>
              </w:rPr>
              <w:t>Política por acordar</w:t>
            </w:r>
          </w:p>
        </w:tc>
      </w:tr>
      <w:tr>
        <w:trPr>
          <w:cantSplit/>
        </w:trPr>
        <w:tc>
          <w:tcPr>
            <w:tcW w:type="dxa" w:w="1474"/>
            <w:vAlign w:val="top"/>
          </w:tcPr>
          <w:p>
            <w:pPr>
              <w:spacing w:after="40" w:before="20" w:line="252" w:lineRule="auto"/>
            </w:pPr>
            <w:r>
              <w:rPr>
                <w:sz w:val="15"/>
              </w:rPr>
              <w:t>Integridad de pesaje</w:t>
            </w:r>
          </w:p>
        </w:tc>
        <w:tc>
          <w:tcPr>
            <w:tcW w:type="dxa" w:w="1701"/>
            <w:vAlign w:val="top"/>
          </w:tcPr>
          <w:p>
            <w:pPr>
              <w:spacing w:after="40" w:before="20" w:line="252" w:lineRule="auto"/>
            </w:pPr>
            <w:r>
              <w:rPr>
                <w:sz w:val="15"/>
              </w:rPr>
              <w:t>EC-07</w:t>
            </w:r>
          </w:p>
        </w:tc>
        <w:tc>
          <w:tcPr>
            <w:tcW w:type="dxa" w:w="3061"/>
            <w:vAlign w:val="top"/>
          </w:tcPr>
          <w:p>
            <w:pPr>
              <w:spacing w:after="40" w:before="20" w:line="252" w:lineRule="auto"/>
            </w:pPr>
            <w:r>
              <w:rPr>
                <w:sz w:val="15"/>
              </w:rPr>
              <w:t>API + datos + reglas de masa</w:t>
            </w:r>
          </w:p>
        </w:tc>
        <w:tc>
          <w:tcPr>
            <w:tcW w:type="dxa" w:w="1361"/>
            <w:vAlign w:val="top"/>
          </w:tcPr>
          <w:p>
            <w:pPr>
              <w:spacing w:after="40" w:before="20" w:line="252" w:lineRule="auto"/>
            </w:pPr>
            <w:r>
              <w:rPr>
                <w:sz w:val="15"/>
              </w:rPr>
              <w:t>PT-05</w:t>
            </w:r>
          </w:p>
        </w:tc>
        <w:tc>
          <w:tcPr>
            <w:tcW w:type="dxa" w:w="1587"/>
            <w:vAlign w:val="top"/>
          </w:tcPr>
          <w:p>
            <w:pPr>
              <w:spacing w:after="40" w:before="20" w:line="252" w:lineRule="auto"/>
            </w:pPr>
            <w:r>
              <w:rPr>
                <w:sz w:val="15"/>
              </w:rPr>
              <w:t>Reglas por acordar</w:t>
            </w:r>
          </w:p>
        </w:tc>
      </w:tr>
      <w:tr>
        <w:trPr>
          <w:cantSplit/>
        </w:trPr>
        <w:tc>
          <w:tcPr>
            <w:tcW w:type="dxa" w:w="1474"/>
            <w:vAlign w:val="top"/>
            <w:shd w:fill="F3F7F8"/>
          </w:tcPr>
          <w:p>
            <w:pPr>
              <w:spacing w:after="40" w:before="20" w:line="252" w:lineRule="auto"/>
            </w:pPr>
            <w:r>
              <w:rPr>
                <w:sz w:val="15"/>
              </w:rPr>
              <w:t>Operación futura</w:t>
            </w:r>
          </w:p>
        </w:tc>
        <w:tc>
          <w:tcPr>
            <w:tcW w:type="dxa" w:w="1701"/>
            <w:vAlign w:val="top"/>
            <w:shd w:fill="F3F7F8"/>
          </w:tcPr>
          <w:p>
            <w:pPr>
              <w:spacing w:after="40" w:before="20" w:line="252" w:lineRule="auto"/>
            </w:pPr>
            <w:r>
              <w:rPr>
                <w:sz w:val="15"/>
              </w:rPr>
              <w:t>EC-08 / EC-09</w:t>
            </w:r>
          </w:p>
        </w:tc>
        <w:tc>
          <w:tcPr>
            <w:tcW w:type="dxa" w:w="3061"/>
            <w:vAlign w:val="top"/>
            <w:shd w:fill="F3F7F8"/>
          </w:tcPr>
          <w:p>
            <w:pPr>
              <w:spacing w:after="40" w:before="20" w:line="252" w:lineRule="auto"/>
            </w:pPr>
            <w:r>
              <w:rPr>
                <w:sz w:val="15"/>
              </w:rPr>
              <w:t>DA-07 / sincronización e integraciones</w:t>
            </w:r>
          </w:p>
        </w:tc>
        <w:tc>
          <w:tcPr>
            <w:tcW w:type="dxa" w:w="1361"/>
            <w:vAlign w:val="top"/>
            <w:shd w:fill="F3F7F8"/>
          </w:tcPr>
          <w:p>
            <w:pPr>
              <w:spacing w:after="40" w:before="20" w:line="252" w:lineRule="auto"/>
            </w:pPr>
            <w:r>
              <w:rPr>
                <w:sz w:val="15"/>
              </w:rPr>
              <w:t>PT-08 y diseño futuro</w:t>
            </w:r>
          </w:p>
        </w:tc>
        <w:tc>
          <w:tcPr>
            <w:tcW w:type="dxa" w:w="1587"/>
            <w:vAlign w:val="top"/>
            <w:shd w:fill="F3F7F8"/>
          </w:tcPr>
          <w:p>
            <w:pPr>
              <w:spacing w:after="40" w:before="20" w:line="252" w:lineRule="auto"/>
            </w:pPr>
            <w:r>
              <w:rPr>
                <w:sz w:val="15"/>
              </w:rPr>
              <w:t>Diseño futuro previsto</w:t>
            </w:r>
          </w:p>
        </w:tc>
      </w:tr>
    </w:tbl>
    <w:p>
      <w:pPr>
        <w:spacing w:after="20"/>
      </w:pPr>
    </w:p>
    <w:p>
      <w:pPr>
        <w:pStyle w:val="Heading1"/>
      </w:pPr>
      <w:r>
        <w:t>Anexo C. Glosario de hallazgos ATAM</w:t>
      </w:r>
    </w:p>
    <w:tbl>
      <w:tblPr>
        <w:tblStyle w:val="TableGrid"/>
        <w:tblW w:type="auto" w:w="0"/>
        <w:jc w:val="center"/>
        <w:tblLayout w:type="fixed"/>
        <w:tblLook w:firstColumn="1" w:firstRow="1" w:lastColumn="0" w:lastRow="0" w:noHBand="0" w:noVBand="1" w:val="04A0"/>
      </w:tblPr>
      <w:tblGrid>
        <w:gridCol w:w="2268"/>
        <w:gridCol w:w="6917"/>
      </w:tblGrid>
      <w:tr>
        <w:trPr>
          <w:tblHeader w:val="true"/>
        </w:trPr>
        <w:tc>
          <w:tcPr>
            <w:tcW w:type="dxa" w:w="4677"/>
            <w:vAlign w:val="center"/>
            <w:shd w:fill="18485A"/>
          </w:tcPr>
          <w:p>
            <w:pPr>
              <w:spacing w:after="0"/>
            </w:pPr>
            <w:r>
              <w:rPr>
                <w:b/>
                <w:color w:val="FFFFFF"/>
                <w:sz w:val="16"/>
              </w:rPr>
              <w:t>Término</w:t>
            </w:r>
          </w:p>
        </w:tc>
        <w:tc>
          <w:tcPr>
            <w:tcW w:type="dxa" w:w="4677"/>
            <w:vAlign w:val="center"/>
            <w:shd w:fill="18485A"/>
          </w:tcPr>
          <w:p>
            <w:pPr>
              <w:spacing w:after="0"/>
            </w:pPr>
            <w:r>
              <w:rPr>
                <w:b/>
                <w:color w:val="FFFFFF"/>
                <w:sz w:val="16"/>
              </w:rPr>
              <w:t>Significado aplicado</w:t>
            </w:r>
          </w:p>
        </w:tc>
      </w:tr>
      <w:tr>
        <w:trPr>
          <w:cantSplit/>
        </w:trPr>
        <w:tc>
          <w:tcPr>
            <w:tcW w:type="dxa" w:w="2268"/>
            <w:vAlign w:val="top"/>
          </w:tcPr>
          <w:p>
            <w:pPr>
              <w:spacing w:after="40" w:before="20" w:line="252" w:lineRule="auto"/>
            </w:pPr>
            <w:r>
              <w:rPr>
                <w:sz w:val="16"/>
              </w:rPr>
              <w:t>Riesgo</w:t>
            </w:r>
          </w:p>
        </w:tc>
        <w:tc>
          <w:tcPr>
            <w:tcW w:type="dxa" w:w="6917"/>
            <w:vAlign w:val="top"/>
          </w:tcPr>
          <w:p>
            <w:pPr>
              <w:spacing w:after="40" w:before="20" w:line="252" w:lineRule="auto"/>
            </w:pPr>
            <w:r>
              <w:rPr>
                <w:sz w:val="16"/>
              </w:rPr>
              <w:t>Decisión o característica arquitectónica que puede impedir satisfacer un atributo de calidad.</w:t>
            </w:r>
          </w:p>
        </w:tc>
      </w:tr>
      <w:tr>
        <w:trPr>
          <w:cantSplit/>
        </w:trPr>
        <w:tc>
          <w:tcPr>
            <w:tcW w:type="dxa" w:w="2268"/>
            <w:vAlign w:val="top"/>
            <w:shd w:fill="F3F7F8"/>
          </w:tcPr>
          <w:p>
            <w:pPr>
              <w:spacing w:after="40" w:before="20" w:line="252" w:lineRule="auto"/>
            </w:pPr>
            <w:r>
              <w:rPr>
                <w:sz w:val="16"/>
              </w:rPr>
              <w:t>No riesgo</w:t>
            </w:r>
          </w:p>
        </w:tc>
        <w:tc>
          <w:tcPr>
            <w:tcW w:type="dxa" w:w="6917"/>
            <w:vAlign w:val="top"/>
            <w:shd w:fill="F3F7F8"/>
          </w:tcPr>
          <w:p>
            <w:pPr>
              <w:spacing w:after="40" w:before="20" w:line="252" w:lineRule="auto"/>
            </w:pPr>
            <w:r>
              <w:rPr>
                <w:sz w:val="16"/>
              </w:rPr>
              <w:t>Decisión justificada que responde al escenario bajo supuestos explícitos; no es garantía universal.</w:t>
            </w:r>
          </w:p>
        </w:tc>
      </w:tr>
      <w:tr>
        <w:trPr>
          <w:cantSplit/>
        </w:trPr>
        <w:tc>
          <w:tcPr>
            <w:tcW w:type="dxa" w:w="2268"/>
            <w:vAlign w:val="top"/>
          </w:tcPr>
          <w:p>
            <w:pPr>
              <w:spacing w:after="40" w:before="20" w:line="252" w:lineRule="auto"/>
            </w:pPr>
            <w:r>
              <w:rPr>
                <w:sz w:val="16"/>
              </w:rPr>
              <w:t>Punto de sensibilidad</w:t>
            </w:r>
          </w:p>
        </w:tc>
        <w:tc>
          <w:tcPr>
            <w:tcW w:type="dxa" w:w="6917"/>
            <w:vAlign w:val="top"/>
          </w:tcPr>
          <w:p>
            <w:pPr>
              <w:spacing w:after="40" w:before="20" w:line="252" w:lineRule="auto"/>
            </w:pPr>
            <w:r>
              <w:rPr>
                <w:sz w:val="16"/>
              </w:rPr>
              <w:t>Propiedad o parámetro cuyo cambio altera notablemente un atributo de calidad.</w:t>
            </w:r>
          </w:p>
        </w:tc>
      </w:tr>
      <w:tr>
        <w:trPr>
          <w:cantSplit/>
        </w:trPr>
        <w:tc>
          <w:tcPr>
            <w:tcW w:type="dxa" w:w="2268"/>
            <w:vAlign w:val="top"/>
            <w:shd w:fill="F3F7F8"/>
          </w:tcPr>
          <w:p>
            <w:pPr>
              <w:spacing w:after="40" w:before="20" w:line="252" w:lineRule="auto"/>
            </w:pPr>
            <w:r>
              <w:rPr>
                <w:sz w:val="16"/>
              </w:rPr>
              <w:t>Punto de compromiso</w:t>
            </w:r>
          </w:p>
        </w:tc>
        <w:tc>
          <w:tcPr>
            <w:tcW w:type="dxa" w:w="6917"/>
            <w:vAlign w:val="top"/>
            <w:shd w:fill="F3F7F8"/>
          </w:tcPr>
          <w:p>
            <w:pPr>
              <w:spacing w:after="40" w:before="20" w:line="252" w:lineRule="auto"/>
            </w:pPr>
            <w:r>
              <w:rPr>
                <w:sz w:val="16"/>
              </w:rPr>
              <w:t>Decisión que influye en más de un atributo; favorecer uno puede afectar otro.</w:t>
            </w:r>
          </w:p>
        </w:tc>
      </w:tr>
      <w:tr>
        <w:trPr>
          <w:cantSplit/>
        </w:trPr>
        <w:tc>
          <w:tcPr>
            <w:tcW w:type="dxa" w:w="2268"/>
            <w:vAlign w:val="top"/>
          </w:tcPr>
          <w:p>
            <w:pPr>
              <w:spacing w:after="40" w:before="20" w:line="252" w:lineRule="auto"/>
            </w:pPr>
            <w:r>
              <w:rPr>
                <w:sz w:val="16"/>
              </w:rPr>
              <w:t>Tema de riesgo</w:t>
            </w:r>
          </w:p>
        </w:tc>
        <w:tc>
          <w:tcPr>
            <w:tcW w:type="dxa" w:w="6917"/>
            <w:vAlign w:val="top"/>
          </w:tcPr>
          <w:p>
            <w:pPr>
              <w:spacing w:after="40" w:before="20" w:line="252" w:lineRule="auto"/>
            </w:pPr>
            <w:r>
              <w:rPr>
                <w:sz w:val="16"/>
              </w:rPr>
              <w:t>Agrupación de varios riesgos que amenaza un objetivo compartido.</w:t>
            </w:r>
          </w:p>
        </w:tc>
      </w:tr>
      <w:tr>
        <w:trPr>
          <w:cantSplit/>
        </w:trPr>
        <w:tc>
          <w:tcPr>
            <w:tcW w:type="dxa" w:w="2268"/>
            <w:vAlign w:val="top"/>
            <w:shd w:fill="F3F7F8"/>
          </w:tcPr>
          <w:p>
            <w:pPr>
              <w:spacing w:after="40" w:before="20" w:line="252" w:lineRule="auto"/>
            </w:pPr>
            <w:r>
              <w:rPr>
                <w:sz w:val="16"/>
              </w:rPr>
              <w:t>RTO / RPO</w:t>
            </w:r>
          </w:p>
        </w:tc>
        <w:tc>
          <w:tcPr>
            <w:tcW w:type="dxa" w:w="6917"/>
            <w:vAlign w:val="top"/>
            <w:shd w:fill="F3F7F8"/>
          </w:tcPr>
          <w:p>
            <w:pPr>
              <w:spacing w:after="40" w:before="20" w:line="252" w:lineRule="auto"/>
            </w:pPr>
            <w:r>
              <w:rPr>
                <w:sz w:val="16"/>
              </w:rPr>
              <w:t>Tiempo objetivo para recuperar el servicio / pérdida temporal máxima de información admisible, respectivamente.</w:t>
            </w:r>
          </w:p>
        </w:tc>
      </w:tr>
      <w:tr>
        <w:trPr>
          <w:cantSplit/>
        </w:trPr>
        <w:tc>
          <w:tcPr>
            <w:tcW w:type="dxa" w:w="2268"/>
            <w:vAlign w:val="top"/>
          </w:tcPr>
          <w:p>
            <w:pPr>
              <w:spacing w:after="40" w:before="20" w:line="252" w:lineRule="auto"/>
            </w:pPr>
            <w:r>
              <w:rPr>
                <w:sz w:val="16"/>
              </w:rPr>
              <w:t>Invariante</w:t>
            </w:r>
          </w:p>
        </w:tc>
        <w:tc>
          <w:tcPr>
            <w:tcW w:type="dxa" w:w="6917"/>
            <w:vAlign w:val="top"/>
          </w:tcPr>
          <w:p>
            <w:pPr>
              <w:spacing w:after="40" w:before="20" w:line="252" w:lineRule="auto"/>
            </w:pPr>
            <w:r>
              <w:rPr>
                <w:sz w:val="16"/>
              </w:rPr>
              <w:t>Regla que debe mantenerse antes y después de toda operación del dominio.</w:t>
            </w:r>
          </w:p>
        </w:tc>
      </w:tr>
    </w:tbl>
    <w:p>
      <w:pPr>
        <w:spacing w:after="20"/>
      </w:pPr>
    </w:p>
    <w:p>
      <w:pPr>
        <w:pStyle w:val="Heading1"/>
      </w:pPr>
      <w:r>
        <w:t>Referencias metodológicas</w:t>
      </w:r>
    </w:p>
    <w:p>
      <w:r>
        <w:t>Software Engineering Institute, Carnegie Mellon University. (2018). Architecture Tradeoff Analysis Method Collection. https://insights.sei.cmu.edu/library/architecture-tradeoff-analysis-method-collection/</w:t>
      </w:r>
    </w:p>
    <w:p>
      <w:r>
        <w:t>Software Engineering Institute, Carnegie Mellon University. (2001). Documento técnico CMU/SEI-2001-TN-022 sobre el uso de ATAM y su organización en fases. https://www.sei.cmu.edu/documents/1980/2001_004_001_13835.pdf</w:t>
      </w:r>
    </w:p>
    <w:p>
      <w:r>
        <w:t>Fuente interna de Fase 1: arquitectura y requisitos propuestos para AFRISAN. Los criterios de aceptación y protocolos de validación aquí descritos corresponden a planificación de evaluación, no a resultados de desarrollo.</w:t>
      </w:r>
    </w:p>
    <w:sectPr w:rsidR="00FC693F" w:rsidRPr="0006063C" w:rsidSect="00034616">
      <w:headerReference w:type="default" r:id="rId9"/>
      <w:footerReference w:type="default" r:id="rId10"/>
      <w:pgSz w:w="11906" w:h="16838"/>
      <w:pgMar w:top="1219"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370"/>
        <w:sz w:val="16"/>
      </w:rPr>
      <w:t xml:space="preserve">Septiembre de 2026  •  Evaluación de diseño – Fase 1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006C78"/>
        <w:sz w:val="16"/>
      </w:rPr>
      <w:t>AFRISAN   |   EVALUACIÓN ARQUITECTÓNICA ATAM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32D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132D4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132D4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06C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7" w:lineRule="auto" w:before="0"/>
      <w:contextualSpacing/>
    </w:pPr>
    <w:rPr>
      <w:rFonts w:asciiTheme="majorHAnsi" w:eastAsiaTheme="majorEastAsia" w:hAnsiTheme="majorHAnsi" w:cstheme="majorBidi" w:ascii="Aptos Display" w:hAnsi="Aptos Display"/>
      <w:b/>
      <w:color w:val="132D4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263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AFRISAN - Evaluación arquitectónica ATAM</dc:title>
  <dc:subject>Análisis preliminar de los nueve pasos ATAM</dc:subject>
  <dc:creator>Equipo AFRISAN</dc:creator>
  <cp:keywords>AFRISAN, ATAM, arquitectura, evaluación</cp:keywords>
  <dc:description>generated by python-docx</dc:description>
  <cp:lastModifiedBy/>
  <cp:revision>1</cp:revision>
  <dcterms:created xsi:type="dcterms:W3CDTF">2013-12-23T23:15:00Z</dcterms:created>
  <dcterms:modified xsi:type="dcterms:W3CDTF">2013-12-23T23:15:00Z</dcterms:modified>
  <cp:category/>
</cp:coreProperties>
</file>