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Variables for levels 0,1,2,5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Global variables: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players health. Starts at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What the player has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which level function to 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victory condition. A simple Boolean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Introduction() local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whether the user has entered the pyramid. Sentry variable for the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input from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Level1() local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Exit_room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whether the player is leaving the room. Sentry variable for the entire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whether the door is locked, unlocked, or 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Sarcophagus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list of items currently in the sarcophagus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Level2() local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Exit_room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Sentry variable for the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No_mirror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whether the mirror is on the wall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bush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whether the thorns have been burned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the number of eyes the user still has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Level5() local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whether gas attack has started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Whether the alien is alive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Exit_room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Sentry variable for the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true, ends gas attack and prevents death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Bt – time at the start of the gas attack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– current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 -  (t-bt), in other words, time elapsed since gas attack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 – time remaining, (120 – 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victory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Keeps track of whether the vault is locked or 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Functions for levels 0,1,2,5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Displays instructions and gives user a chance to learn the ropes before the game begins.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Level1(health,inventory)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Level 1 block. Returns health and inventory to the next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Level2(health,inventory)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Level 2 block. Takes health and inventory as parameters and returns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Level3(health,inventory)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Level 3 block. Takes health and inventory as parameters and returns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…all the way through level4()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Level5()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one also returns win, the victory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Computer(vault)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Allows the user to use the computer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